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7EC0B8F3" w:rsidR="009121D9" w:rsidRDefault="006F3709" w:rsidP="008B496F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DC0C15">
        <w:rPr>
          <w:rFonts w:ascii="Trebuchet MS" w:hAnsi="Trebuchet MS"/>
          <w:b/>
          <w:sz w:val="36"/>
          <w:szCs w:val="36"/>
        </w:rPr>
        <w:t>July 24</w:t>
      </w:r>
      <w:r w:rsidR="00404B78">
        <w:rPr>
          <w:rFonts w:ascii="Trebuchet MS" w:hAnsi="Trebuchet MS"/>
          <w:b/>
          <w:sz w:val="36"/>
          <w:szCs w:val="36"/>
        </w:rPr>
        <w:t>, 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428444E1" w14:textId="77777777" w:rsidR="008B496F" w:rsidRPr="00292F47" w:rsidRDefault="008B496F" w:rsidP="008B496F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4C9C36F0" w:rsidR="005C49D6" w:rsidRPr="00486EBE" w:rsidRDefault="00DC0C15" w:rsidP="008B496F">
      <w:p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b/>
          <w:bCs/>
          <w:sz w:val="24"/>
          <w:szCs w:val="24"/>
        </w:rPr>
        <w:t xml:space="preserve">Guidance </w:t>
      </w:r>
      <w:r w:rsidR="00C42724" w:rsidRPr="00486EBE">
        <w:rPr>
          <w:rFonts w:cstheme="minorHAnsi"/>
          <w:b/>
          <w:bCs/>
          <w:sz w:val="24"/>
          <w:szCs w:val="24"/>
        </w:rPr>
        <w:t xml:space="preserve">on </w:t>
      </w:r>
      <w:r w:rsidRPr="00486EBE">
        <w:rPr>
          <w:rFonts w:cstheme="minorHAnsi"/>
          <w:b/>
          <w:bCs/>
          <w:sz w:val="24"/>
          <w:szCs w:val="24"/>
        </w:rPr>
        <w:t>Courses Requiring Additional Safety Considerations</w:t>
      </w:r>
      <w:r w:rsidR="00C42724" w:rsidRPr="00486EBE">
        <w:rPr>
          <w:rFonts w:cstheme="minorHAnsi"/>
          <w:b/>
          <w:bCs/>
          <w:sz w:val="24"/>
          <w:szCs w:val="24"/>
        </w:rPr>
        <w:t xml:space="preserve"> and Remote Learning</w:t>
      </w:r>
    </w:p>
    <w:p w14:paraId="0AF85DB7" w14:textId="77777777" w:rsidR="008B496F" w:rsidRPr="00486EBE" w:rsidRDefault="008B496F" w:rsidP="008B496F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64AAE3F7" w:rsidR="00844EB3" w:rsidRPr="00486EBE" w:rsidRDefault="00844EB3" w:rsidP="008B496F">
      <w:p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Dear Superintendents, Charter School Leaders, Assistant Superintendents,</w:t>
      </w:r>
      <w:r w:rsidR="00DC0C15" w:rsidRPr="00486EBE">
        <w:rPr>
          <w:rFonts w:cstheme="minorHAnsi"/>
          <w:sz w:val="24"/>
          <w:szCs w:val="24"/>
        </w:rPr>
        <w:t xml:space="preserve"> Collaborative Leaders, and Leaders of Approved Special Education Schools,</w:t>
      </w:r>
    </w:p>
    <w:p w14:paraId="17C592AE" w14:textId="77777777" w:rsidR="008B496F" w:rsidRPr="00486EBE" w:rsidRDefault="008B496F" w:rsidP="008B496F">
      <w:pPr>
        <w:spacing w:after="0" w:line="240" w:lineRule="auto"/>
        <w:rPr>
          <w:rFonts w:cstheme="minorHAnsi"/>
          <w:sz w:val="24"/>
          <w:szCs w:val="24"/>
        </w:rPr>
      </w:pPr>
    </w:p>
    <w:p w14:paraId="5CC89300" w14:textId="6AEDFE5F" w:rsidR="00994412" w:rsidRPr="00486EBE" w:rsidRDefault="00994412" w:rsidP="008B496F">
      <w:p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 xml:space="preserve">As a supplement to DESE’s </w:t>
      </w:r>
      <w:hyperlink r:id="rId13" w:history="1">
        <w:r w:rsidRPr="00486EBE">
          <w:rPr>
            <w:rStyle w:val="Hyperlink"/>
            <w:rFonts w:cstheme="minorHAnsi"/>
            <w:sz w:val="24"/>
            <w:szCs w:val="24"/>
          </w:rPr>
          <w:t>Initial Fall School Reopening Guidance</w:t>
        </w:r>
      </w:hyperlink>
      <w:bookmarkStart w:id="0" w:name="_GoBack"/>
      <w:bookmarkEnd w:id="0"/>
      <w:r w:rsidRPr="00486EBE">
        <w:rPr>
          <w:rFonts w:cstheme="minorHAnsi"/>
          <w:sz w:val="24"/>
          <w:szCs w:val="24"/>
        </w:rPr>
        <w:t xml:space="preserve"> </w:t>
      </w:r>
      <w:r w:rsidRPr="00486EBE">
        <w:rPr>
          <w:rFonts w:cstheme="minorHAnsi"/>
          <w:i/>
          <w:iCs/>
          <w:sz w:val="24"/>
          <w:szCs w:val="24"/>
        </w:rPr>
        <w:t>(download)</w:t>
      </w:r>
      <w:r w:rsidRPr="00486EBE">
        <w:rPr>
          <w:rFonts w:cstheme="minorHAnsi"/>
          <w:sz w:val="24"/>
          <w:szCs w:val="24"/>
        </w:rPr>
        <w:t xml:space="preserve">, we are providing districts and schools with the attached </w:t>
      </w:r>
      <w:hyperlink r:id="rId14" w:history="1">
        <w:r w:rsidRPr="00411B05">
          <w:rPr>
            <w:rStyle w:val="Hyperlink"/>
            <w:rFonts w:cstheme="minorHAnsi"/>
            <w:sz w:val="24"/>
            <w:szCs w:val="24"/>
          </w:rPr>
          <w:t>remote learning guidance</w:t>
        </w:r>
      </w:hyperlink>
      <w:r w:rsidR="00411B05">
        <w:rPr>
          <w:rFonts w:cstheme="minorHAnsi"/>
          <w:sz w:val="24"/>
          <w:szCs w:val="24"/>
        </w:rPr>
        <w:t xml:space="preserve"> </w:t>
      </w:r>
      <w:r w:rsidR="00411B05" w:rsidRPr="00486EBE">
        <w:rPr>
          <w:rFonts w:cstheme="minorHAnsi"/>
          <w:i/>
          <w:iCs/>
          <w:sz w:val="24"/>
          <w:szCs w:val="24"/>
        </w:rPr>
        <w:t>(download)</w:t>
      </w:r>
      <w:r w:rsidRPr="00486EBE">
        <w:rPr>
          <w:rFonts w:cstheme="minorHAnsi"/>
          <w:sz w:val="24"/>
          <w:szCs w:val="24"/>
        </w:rPr>
        <w:t xml:space="preserve"> and the attached </w:t>
      </w:r>
      <w:hyperlink r:id="rId15" w:history="1">
        <w:r w:rsidRPr="00411B05">
          <w:rPr>
            <w:rStyle w:val="Hyperlink"/>
            <w:rFonts w:cstheme="minorHAnsi"/>
            <w:sz w:val="24"/>
            <w:szCs w:val="24"/>
          </w:rPr>
          <w:t>guidance</w:t>
        </w:r>
      </w:hyperlink>
      <w:r w:rsidR="00411B05">
        <w:rPr>
          <w:rFonts w:cstheme="minorHAnsi"/>
          <w:sz w:val="24"/>
          <w:szCs w:val="24"/>
        </w:rPr>
        <w:t xml:space="preserve"> </w:t>
      </w:r>
      <w:r w:rsidR="00411B05" w:rsidRPr="00486EBE">
        <w:rPr>
          <w:rFonts w:cstheme="minorHAnsi"/>
          <w:i/>
          <w:iCs/>
          <w:sz w:val="24"/>
          <w:szCs w:val="24"/>
        </w:rPr>
        <w:t>(download)</w:t>
      </w:r>
      <w:r w:rsidRPr="00486EBE">
        <w:rPr>
          <w:rFonts w:cstheme="minorHAnsi"/>
          <w:sz w:val="24"/>
          <w:szCs w:val="24"/>
        </w:rPr>
        <w:t xml:space="preserve"> for the following in-school classes that require additional safety considerations this fall:</w:t>
      </w:r>
    </w:p>
    <w:p w14:paraId="15BC4916" w14:textId="77777777" w:rsidR="00994412" w:rsidRPr="00486EBE" w:rsidRDefault="00994412" w:rsidP="008B496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Arts: Chorus, band, theater, dance, and visual arts</w:t>
      </w:r>
    </w:p>
    <w:p w14:paraId="734C7B8C" w14:textId="77777777" w:rsidR="00994412" w:rsidRPr="00486EBE" w:rsidRDefault="00994412" w:rsidP="008B496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6EBE">
        <w:rPr>
          <w:rFonts w:cstheme="minorHAnsi"/>
          <w:sz w:val="24"/>
          <w:szCs w:val="24"/>
        </w:rPr>
        <w:t>Physical education</w:t>
      </w:r>
      <w:r w:rsidRPr="00486EBE">
        <w:rPr>
          <w:rFonts w:cstheme="minorHAnsi"/>
          <w:b/>
          <w:bCs/>
          <w:sz w:val="24"/>
          <w:szCs w:val="24"/>
        </w:rPr>
        <w:t xml:space="preserve"> </w:t>
      </w:r>
    </w:p>
    <w:p w14:paraId="582CB0A7" w14:textId="77777777" w:rsidR="00994412" w:rsidRPr="00486EBE" w:rsidRDefault="00994412" w:rsidP="008B496F">
      <w:pPr>
        <w:spacing w:after="0" w:line="240" w:lineRule="auto"/>
        <w:rPr>
          <w:rFonts w:cstheme="minorHAnsi"/>
          <w:sz w:val="24"/>
          <w:szCs w:val="24"/>
        </w:rPr>
      </w:pPr>
    </w:p>
    <w:p w14:paraId="0EDCBBCF" w14:textId="73571A54" w:rsidR="00FF2E92" w:rsidRPr="00486EBE" w:rsidRDefault="00994412" w:rsidP="008B496F">
      <w:p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b/>
          <w:bCs/>
          <w:sz w:val="24"/>
          <w:szCs w:val="24"/>
        </w:rPr>
        <w:t>The arts, physical education, and other enrichment courses are an integral part of the learning experience for every student at every grade level</w:t>
      </w:r>
      <w:r w:rsidR="00D12700" w:rsidRPr="00486EBE">
        <w:rPr>
          <w:rFonts w:cstheme="minorHAnsi"/>
          <w:b/>
          <w:bCs/>
          <w:sz w:val="24"/>
          <w:szCs w:val="24"/>
        </w:rPr>
        <w:t>, and w</w:t>
      </w:r>
      <w:r w:rsidRPr="00486EBE">
        <w:rPr>
          <w:rFonts w:cstheme="minorHAnsi"/>
          <w:b/>
          <w:bCs/>
          <w:sz w:val="24"/>
          <w:szCs w:val="24"/>
        </w:rPr>
        <w:t>e strongly encourage schools and districts to continue providing these classes to students this fall.</w:t>
      </w:r>
      <w:r w:rsidR="00D12700" w:rsidRPr="00486EBE">
        <w:rPr>
          <w:rFonts w:cstheme="minorHAnsi"/>
          <w:b/>
          <w:bCs/>
          <w:sz w:val="24"/>
          <w:szCs w:val="24"/>
        </w:rPr>
        <w:t xml:space="preserve">  </w:t>
      </w:r>
      <w:r w:rsidRPr="00486EBE">
        <w:rPr>
          <w:rFonts w:cstheme="minorHAnsi"/>
          <w:b/>
          <w:bCs/>
          <w:sz w:val="24"/>
          <w:szCs w:val="24"/>
        </w:rPr>
        <w:t>Adaptations to these courses, however, are necessary to ensure the safety of students and staff</w:t>
      </w:r>
      <w:r w:rsidR="00C42724" w:rsidRPr="00486EBE">
        <w:rPr>
          <w:rFonts w:cstheme="minorHAnsi"/>
          <w:b/>
          <w:bCs/>
          <w:sz w:val="24"/>
          <w:szCs w:val="24"/>
        </w:rPr>
        <w:t>.</w:t>
      </w:r>
      <w:r w:rsidR="00C42724" w:rsidRPr="00486EBE">
        <w:rPr>
          <w:rFonts w:cstheme="minorHAnsi"/>
          <w:sz w:val="24"/>
          <w:szCs w:val="24"/>
        </w:rPr>
        <w:t xml:space="preserve">  </w:t>
      </w:r>
      <w:r w:rsidR="00FF2E92" w:rsidRPr="00486EBE">
        <w:rPr>
          <w:rFonts w:cstheme="minorHAnsi"/>
          <w:sz w:val="24"/>
          <w:szCs w:val="24"/>
        </w:rPr>
        <w:t>Please note that this guidance may be revised as we continue to monitor COVID-19 trends and the latest medical research.</w:t>
      </w:r>
    </w:p>
    <w:p w14:paraId="249B29B0" w14:textId="7E69A04F" w:rsidR="00994412" w:rsidRPr="00486EBE" w:rsidRDefault="00994412" w:rsidP="008B496F">
      <w:pPr>
        <w:spacing w:after="0" w:line="240" w:lineRule="auto"/>
        <w:rPr>
          <w:rFonts w:cstheme="minorHAnsi"/>
          <w:sz w:val="24"/>
          <w:szCs w:val="24"/>
        </w:rPr>
      </w:pPr>
    </w:p>
    <w:p w14:paraId="18EA8F35" w14:textId="70254D39" w:rsidR="00C42724" w:rsidRPr="00486EBE" w:rsidRDefault="00C8577A" w:rsidP="008B496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86EBE">
        <w:rPr>
          <w:rFonts w:cstheme="minorHAnsi"/>
          <w:b/>
          <w:bCs/>
          <w:sz w:val="24"/>
          <w:szCs w:val="24"/>
        </w:rPr>
        <w:t xml:space="preserve">The remote learning guidance </w:t>
      </w:r>
      <w:r w:rsidR="00FF2E92" w:rsidRPr="00486EBE">
        <w:rPr>
          <w:rFonts w:cstheme="minorHAnsi"/>
          <w:b/>
          <w:bCs/>
          <w:sz w:val="24"/>
          <w:szCs w:val="24"/>
        </w:rPr>
        <w:t xml:space="preserve">provides additional detail on remote learning expectations, </w:t>
      </w:r>
      <w:r w:rsidR="00D64348" w:rsidRPr="00486EBE">
        <w:rPr>
          <w:rFonts w:cstheme="minorHAnsi"/>
          <w:b/>
          <w:bCs/>
          <w:sz w:val="24"/>
          <w:szCs w:val="24"/>
        </w:rPr>
        <w:t xml:space="preserve">program models </w:t>
      </w:r>
      <w:r w:rsidR="00FF2E92" w:rsidRPr="00486EBE">
        <w:rPr>
          <w:rFonts w:cstheme="minorHAnsi"/>
          <w:b/>
          <w:bCs/>
          <w:sz w:val="24"/>
          <w:szCs w:val="24"/>
        </w:rPr>
        <w:t>districts may consider, and considerations for implementing various models</w:t>
      </w:r>
      <w:r w:rsidR="00A93C16" w:rsidRPr="00486EBE">
        <w:rPr>
          <w:rFonts w:cstheme="minorHAnsi"/>
          <w:b/>
          <w:bCs/>
          <w:sz w:val="24"/>
          <w:szCs w:val="24"/>
        </w:rPr>
        <w:t xml:space="preserve">. </w:t>
      </w:r>
    </w:p>
    <w:p w14:paraId="71CB8F6D" w14:textId="77777777" w:rsidR="00C42724" w:rsidRPr="00486EBE" w:rsidRDefault="00C42724" w:rsidP="008B496F">
      <w:pPr>
        <w:spacing w:after="0" w:line="240" w:lineRule="auto"/>
        <w:rPr>
          <w:rFonts w:cstheme="minorHAnsi"/>
          <w:sz w:val="24"/>
          <w:szCs w:val="24"/>
        </w:rPr>
      </w:pPr>
    </w:p>
    <w:p w14:paraId="26D59E80" w14:textId="7984AC1B" w:rsidR="00FF2E92" w:rsidRPr="00486EBE" w:rsidRDefault="00A93C16" w:rsidP="008B496F">
      <w:pPr>
        <w:spacing w:after="0" w:line="240" w:lineRule="auto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The document includes:</w:t>
      </w:r>
    </w:p>
    <w:p w14:paraId="48B11ACA" w14:textId="77777777" w:rsidR="00FF2E92" w:rsidRPr="00486EBE" w:rsidRDefault="00FF2E92" w:rsidP="008B496F">
      <w:pPr>
        <w:numPr>
          <w:ilvl w:val="0"/>
          <w:numId w:val="11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486EBE">
        <w:rPr>
          <w:rFonts w:eastAsia="Times New Roman" w:cstheme="minorHAnsi"/>
          <w:b/>
          <w:sz w:val="24"/>
          <w:szCs w:val="24"/>
        </w:rPr>
        <w:t>Important information about policy requirements and related guidance for remote learning</w:t>
      </w:r>
      <w:r w:rsidRPr="00486EBE">
        <w:rPr>
          <w:rFonts w:eastAsia="Times New Roman" w:cstheme="minorHAnsi"/>
          <w:bCs/>
          <w:sz w:val="24"/>
          <w:szCs w:val="24"/>
        </w:rPr>
        <w:t xml:space="preserve"> this fall</w:t>
      </w:r>
    </w:p>
    <w:p w14:paraId="4D5DA35B" w14:textId="5172871A" w:rsidR="00FF2E92" w:rsidRPr="00486EBE" w:rsidRDefault="00FF2E92" w:rsidP="008B496F">
      <w:pPr>
        <w:numPr>
          <w:ilvl w:val="0"/>
          <w:numId w:val="11"/>
        </w:numPr>
        <w:spacing w:after="0" w:line="240" w:lineRule="auto"/>
        <w:ind w:left="450" w:hanging="90"/>
        <w:rPr>
          <w:rFonts w:eastAsia="Times New Roman" w:cstheme="minorHAnsi"/>
          <w:bCs/>
          <w:sz w:val="24"/>
          <w:szCs w:val="24"/>
        </w:rPr>
      </w:pPr>
      <w:r w:rsidRPr="00486EBE">
        <w:rPr>
          <w:rFonts w:eastAsia="Times New Roman" w:cstheme="minorHAnsi"/>
          <w:bCs/>
          <w:sz w:val="24"/>
          <w:szCs w:val="24"/>
        </w:rPr>
        <w:t xml:space="preserve">Criteria for meeting </w:t>
      </w:r>
      <w:r w:rsidRPr="00486EBE">
        <w:rPr>
          <w:rFonts w:eastAsia="Times New Roman" w:cstheme="minorHAnsi"/>
          <w:b/>
          <w:sz w:val="24"/>
          <w:szCs w:val="24"/>
        </w:rPr>
        <w:t>foundational technology needs</w:t>
      </w:r>
      <w:r w:rsidR="00D64348" w:rsidRPr="00486EBE">
        <w:rPr>
          <w:rFonts w:eastAsia="Times New Roman" w:cstheme="minorHAnsi"/>
          <w:b/>
          <w:sz w:val="24"/>
          <w:szCs w:val="24"/>
        </w:rPr>
        <w:t xml:space="preserve">, </w:t>
      </w:r>
      <w:r w:rsidR="00D64348" w:rsidRPr="00486EBE">
        <w:rPr>
          <w:rFonts w:eastAsia="Times New Roman" w:cstheme="minorHAnsi"/>
          <w:bCs/>
          <w:sz w:val="24"/>
          <w:szCs w:val="24"/>
        </w:rPr>
        <w:t>and</w:t>
      </w:r>
    </w:p>
    <w:p w14:paraId="08330324" w14:textId="4EE75FC0" w:rsidR="000B3DA3" w:rsidRPr="00486EBE" w:rsidRDefault="00FF2E92" w:rsidP="009945C5">
      <w:pPr>
        <w:numPr>
          <w:ilvl w:val="0"/>
          <w:numId w:val="11"/>
        </w:num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486EBE">
        <w:rPr>
          <w:rFonts w:eastAsia="Times New Roman" w:cstheme="minorHAnsi"/>
          <w:bCs/>
          <w:sz w:val="24"/>
          <w:szCs w:val="24"/>
        </w:rPr>
        <w:t xml:space="preserve">Conditions and considerations for </w:t>
      </w:r>
      <w:r w:rsidRPr="00486EBE">
        <w:rPr>
          <w:rFonts w:eastAsia="Times New Roman" w:cstheme="minorHAnsi"/>
          <w:b/>
          <w:sz w:val="24"/>
          <w:szCs w:val="24"/>
        </w:rPr>
        <w:t>selecting an appropriate remote learning option for your school or district</w:t>
      </w:r>
      <w:r w:rsidR="00D64348" w:rsidRPr="00486EBE">
        <w:rPr>
          <w:rFonts w:eastAsia="Times New Roman" w:cstheme="minorHAnsi"/>
          <w:b/>
          <w:sz w:val="24"/>
          <w:szCs w:val="24"/>
        </w:rPr>
        <w:t>.</w:t>
      </w:r>
      <w:r w:rsidRPr="00486EBE">
        <w:rPr>
          <w:rFonts w:eastAsia="Times New Roman" w:cstheme="minorHAnsi"/>
          <w:b/>
          <w:sz w:val="24"/>
          <w:szCs w:val="24"/>
        </w:rPr>
        <w:t xml:space="preserve"> </w:t>
      </w:r>
    </w:p>
    <w:p w14:paraId="3E445461" w14:textId="77777777" w:rsidR="00D64348" w:rsidRPr="00486EBE" w:rsidRDefault="00D64348" w:rsidP="00C42724">
      <w:pPr>
        <w:pStyle w:val="NoSpacing"/>
        <w:tabs>
          <w:tab w:val="left" w:pos="1944"/>
        </w:tabs>
        <w:rPr>
          <w:rFonts w:cstheme="minorHAnsi"/>
          <w:sz w:val="24"/>
          <w:szCs w:val="24"/>
        </w:rPr>
      </w:pPr>
    </w:p>
    <w:p w14:paraId="66157B53" w14:textId="5D8F1096" w:rsidR="00844EB3" w:rsidRPr="00486EBE" w:rsidRDefault="00844EB3" w:rsidP="008B496F">
      <w:pPr>
        <w:pStyle w:val="NoSpacing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Sincerely,</w:t>
      </w:r>
    </w:p>
    <w:p w14:paraId="612904FA" w14:textId="77777777" w:rsidR="00844EB3" w:rsidRPr="00486EBE" w:rsidRDefault="00844EB3" w:rsidP="008B496F">
      <w:pPr>
        <w:pStyle w:val="NoSpacing"/>
        <w:rPr>
          <w:rFonts w:cstheme="minorHAnsi"/>
          <w:sz w:val="24"/>
          <w:szCs w:val="24"/>
        </w:rPr>
      </w:pPr>
    </w:p>
    <w:p w14:paraId="7DB0E540" w14:textId="77777777" w:rsidR="00844EB3" w:rsidRPr="00486EBE" w:rsidRDefault="00844EB3" w:rsidP="008B496F">
      <w:pPr>
        <w:pStyle w:val="NoSpacing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Jeffrey C. Riley</w:t>
      </w:r>
    </w:p>
    <w:p w14:paraId="0657C0D0" w14:textId="77777777" w:rsidR="009C6BEB" w:rsidRPr="00486EBE" w:rsidRDefault="00844EB3" w:rsidP="008B496F">
      <w:pPr>
        <w:pStyle w:val="NoSpacing"/>
        <w:rPr>
          <w:rFonts w:cstheme="minorHAnsi"/>
          <w:sz w:val="24"/>
          <w:szCs w:val="24"/>
        </w:rPr>
      </w:pPr>
      <w:r w:rsidRPr="00486EBE">
        <w:rPr>
          <w:rFonts w:cstheme="minorHAnsi"/>
          <w:sz w:val="24"/>
          <w:szCs w:val="24"/>
        </w:rPr>
        <w:t>Commissioner</w:t>
      </w:r>
    </w:p>
    <w:sectPr w:rsidR="009C6BEB" w:rsidRPr="00486EBE" w:rsidSect="00FE4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2A7A" w14:textId="77777777" w:rsidR="00C17530" w:rsidRDefault="00C17530" w:rsidP="005551BF">
      <w:pPr>
        <w:spacing w:after="0" w:line="240" w:lineRule="auto"/>
      </w:pPr>
      <w:r>
        <w:separator/>
      </w:r>
    </w:p>
  </w:endnote>
  <w:endnote w:type="continuationSeparator" w:id="0">
    <w:p w14:paraId="3BA9AF26" w14:textId="77777777" w:rsidR="00C17530" w:rsidRDefault="00C17530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0560B" w14:textId="77777777" w:rsidR="00DC0C15" w:rsidRDefault="00DC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CBB1" w14:textId="77777777" w:rsidR="00DC0C15" w:rsidRDefault="00DC0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DB66" w14:textId="77777777" w:rsidR="00DC0C15" w:rsidRDefault="00DC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1A8C" w14:textId="77777777" w:rsidR="00C17530" w:rsidRDefault="00C17530" w:rsidP="005551BF">
      <w:pPr>
        <w:spacing w:after="0" w:line="240" w:lineRule="auto"/>
      </w:pPr>
      <w:r>
        <w:separator/>
      </w:r>
    </w:p>
  </w:footnote>
  <w:footnote w:type="continuationSeparator" w:id="0">
    <w:p w14:paraId="5B4A424A" w14:textId="77777777" w:rsidR="00C17530" w:rsidRDefault="00C17530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2DC3" w14:textId="77777777" w:rsidR="00DC0C15" w:rsidRDefault="00DC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AAA9" w14:textId="3B819DF6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6414" w14:textId="77777777" w:rsidR="00DC0C15" w:rsidRDefault="00DC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40A5"/>
    <w:multiLevelType w:val="multilevel"/>
    <w:tmpl w:val="91C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271B"/>
    <w:multiLevelType w:val="multilevel"/>
    <w:tmpl w:val="BF7ED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3588F"/>
    <w:multiLevelType w:val="multilevel"/>
    <w:tmpl w:val="53C03E0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337C5F4E"/>
    <w:multiLevelType w:val="multilevel"/>
    <w:tmpl w:val="0D7210A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570" w:hanging="360"/>
      </w:pPr>
      <w:rPr>
        <w:u w:val="none"/>
      </w:rPr>
    </w:lvl>
  </w:abstractNum>
  <w:abstractNum w:abstractNumId="5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D693A"/>
    <w:multiLevelType w:val="hybridMultilevel"/>
    <w:tmpl w:val="44A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00A9"/>
    <w:rsid w:val="0000555F"/>
    <w:rsid w:val="00006C58"/>
    <w:rsid w:val="0001317D"/>
    <w:rsid w:val="00021DE4"/>
    <w:rsid w:val="00025A47"/>
    <w:rsid w:val="00027481"/>
    <w:rsid w:val="00027E2E"/>
    <w:rsid w:val="00042180"/>
    <w:rsid w:val="0006524B"/>
    <w:rsid w:val="000703E7"/>
    <w:rsid w:val="000749DA"/>
    <w:rsid w:val="00075FC6"/>
    <w:rsid w:val="0009212E"/>
    <w:rsid w:val="00094440"/>
    <w:rsid w:val="000A4FAC"/>
    <w:rsid w:val="000A7A87"/>
    <w:rsid w:val="000B3DA3"/>
    <w:rsid w:val="000C1934"/>
    <w:rsid w:val="000C6AB6"/>
    <w:rsid w:val="000D50A0"/>
    <w:rsid w:val="000E30F2"/>
    <w:rsid w:val="0010091E"/>
    <w:rsid w:val="0010543F"/>
    <w:rsid w:val="00115154"/>
    <w:rsid w:val="001165C8"/>
    <w:rsid w:val="00131ACD"/>
    <w:rsid w:val="001403FD"/>
    <w:rsid w:val="0014403D"/>
    <w:rsid w:val="001446FC"/>
    <w:rsid w:val="00150277"/>
    <w:rsid w:val="00151ADF"/>
    <w:rsid w:val="0015695B"/>
    <w:rsid w:val="001758E5"/>
    <w:rsid w:val="00175C38"/>
    <w:rsid w:val="00176863"/>
    <w:rsid w:val="00184F04"/>
    <w:rsid w:val="00186301"/>
    <w:rsid w:val="00187790"/>
    <w:rsid w:val="00192C49"/>
    <w:rsid w:val="00195D06"/>
    <w:rsid w:val="001B4224"/>
    <w:rsid w:val="001B5078"/>
    <w:rsid w:val="001C77A1"/>
    <w:rsid w:val="001D20F2"/>
    <w:rsid w:val="001E0C93"/>
    <w:rsid w:val="001E23EB"/>
    <w:rsid w:val="001E5F08"/>
    <w:rsid w:val="001F19AF"/>
    <w:rsid w:val="0020448B"/>
    <w:rsid w:val="00205E94"/>
    <w:rsid w:val="00217BD5"/>
    <w:rsid w:val="00220806"/>
    <w:rsid w:val="00222121"/>
    <w:rsid w:val="00222FB9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E01BF"/>
    <w:rsid w:val="002E2914"/>
    <w:rsid w:val="00306342"/>
    <w:rsid w:val="00317F71"/>
    <w:rsid w:val="003226D8"/>
    <w:rsid w:val="003338D5"/>
    <w:rsid w:val="003348DE"/>
    <w:rsid w:val="003352F1"/>
    <w:rsid w:val="003574A6"/>
    <w:rsid w:val="003745E8"/>
    <w:rsid w:val="00377D9B"/>
    <w:rsid w:val="003809BC"/>
    <w:rsid w:val="003962BE"/>
    <w:rsid w:val="003A348E"/>
    <w:rsid w:val="003B0C2C"/>
    <w:rsid w:val="003B3DA6"/>
    <w:rsid w:val="003B3DB8"/>
    <w:rsid w:val="003C1AD3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FF"/>
    <w:rsid w:val="003F28BB"/>
    <w:rsid w:val="003F6D1D"/>
    <w:rsid w:val="00404B78"/>
    <w:rsid w:val="00405270"/>
    <w:rsid w:val="00411B05"/>
    <w:rsid w:val="0041371F"/>
    <w:rsid w:val="00416F5A"/>
    <w:rsid w:val="00421E5A"/>
    <w:rsid w:val="00426E31"/>
    <w:rsid w:val="00430F0F"/>
    <w:rsid w:val="0044171B"/>
    <w:rsid w:val="004425D4"/>
    <w:rsid w:val="00446164"/>
    <w:rsid w:val="00461341"/>
    <w:rsid w:val="00463BC3"/>
    <w:rsid w:val="00465028"/>
    <w:rsid w:val="00465A40"/>
    <w:rsid w:val="00486EBE"/>
    <w:rsid w:val="00497C55"/>
    <w:rsid w:val="004C2072"/>
    <w:rsid w:val="004C4560"/>
    <w:rsid w:val="004D2A67"/>
    <w:rsid w:val="00510576"/>
    <w:rsid w:val="005141A7"/>
    <w:rsid w:val="00514E16"/>
    <w:rsid w:val="00516AAD"/>
    <w:rsid w:val="0052027E"/>
    <w:rsid w:val="005371B8"/>
    <w:rsid w:val="005548B9"/>
    <w:rsid w:val="005551BF"/>
    <w:rsid w:val="0056243D"/>
    <w:rsid w:val="005637F1"/>
    <w:rsid w:val="00565BD9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472A"/>
    <w:rsid w:val="005C49D6"/>
    <w:rsid w:val="005D0572"/>
    <w:rsid w:val="005D0B30"/>
    <w:rsid w:val="005D0E0E"/>
    <w:rsid w:val="005D1818"/>
    <w:rsid w:val="005D2E1F"/>
    <w:rsid w:val="005D57CA"/>
    <w:rsid w:val="005D66E6"/>
    <w:rsid w:val="005E65F3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6141"/>
    <w:rsid w:val="006B693A"/>
    <w:rsid w:val="006B6BD3"/>
    <w:rsid w:val="006B716F"/>
    <w:rsid w:val="006B7356"/>
    <w:rsid w:val="006C23D4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77637"/>
    <w:rsid w:val="007800F2"/>
    <w:rsid w:val="007871F0"/>
    <w:rsid w:val="00791558"/>
    <w:rsid w:val="007A71CB"/>
    <w:rsid w:val="007B06E1"/>
    <w:rsid w:val="007B1CCC"/>
    <w:rsid w:val="007C537D"/>
    <w:rsid w:val="007C5469"/>
    <w:rsid w:val="007D1046"/>
    <w:rsid w:val="007D578C"/>
    <w:rsid w:val="007E0E3F"/>
    <w:rsid w:val="007E1836"/>
    <w:rsid w:val="007F10DE"/>
    <w:rsid w:val="00807B8A"/>
    <w:rsid w:val="00814C49"/>
    <w:rsid w:val="00816991"/>
    <w:rsid w:val="00816A90"/>
    <w:rsid w:val="00831498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496F"/>
    <w:rsid w:val="008B6E88"/>
    <w:rsid w:val="008C0C37"/>
    <w:rsid w:val="008C5DAD"/>
    <w:rsid w:val="008D3826"/>
    <w:rsid w:val="008D3A89"/>
    <w:rsid w:val="008E3519"/>
    <w:rsid w:val="008F33F1"/>
    <w:rsid w:val="008F47E9"/>
    <w:rsid w:val="009032F5"/>
    <w:rsid w:val="009121D9"/>
    <w:rsid w:val="00914696"/>
    <w:rsid w:val="00916FD8"/>
    <w:rsid w:val="0092403A"/>
    <w:rsid w:val="00930975"/>
    <w:rsid w:val="009664A4"/>
    <w:rsid w:val="00971267"/>
    <w:rsid w:val="00982341"/>
    <w:rsid w:val="009923CC"/>
    <w:rsid w:val="00994412"/>
    <w:rsid w:val="009945C5"/>
    <w:rsid w:val="009A19DA"/>
    <w:rsid w:val="009B07B7"/>
    <w:rsid w:val="009B7707"/>
    <w:rsid w:val="009C6BEB"/>
    <w:rsid w:val="009D5BCF"/>
    <w:rsid w:val="009E073A"/>
    <w:rsid w:val="009E11A5"/>
    <w:rsid w:val="009E3D6D"/>
    <w:rsid w:val="009E568F"/>
    <w:rsid w:val="009F5695"/>
    <w:rsid w:val="00A07580"/>
    <w:rsid w:val="00A2647A"/>
    <w:rsid w:val="00A37EBA"/>
    <w:rsid w:val="00A50FE6"/>
    <w:rsid w:val="00A61B2F"/>
    <w:rsid w:val="00A73A50"/>
    <w:rsid w:val="00A75186"/>
    <w:rsid w:val="00A861A0"/>
    <w:rsid w:val="00A90EBB"/>
    <w:rsid w:val="00A93C16"/>
    <w:rsid w:val="00AA2E3A"/>
    <w:rsid w:val="00AA4FBC"/>
    <w:rsid w:val="00AA6F89"/>
    <w:rsid w:val="00AC1586"/>
    <w:rsid w:val="00AC5E07"/>
    <w:rsid w:val="00AD4784"/>
    <w:rsid w:val="00AE373B"/>
    <w:rsid w:val="00B11B34"/>
    <w:rsid w:val="00B26EC4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92A78"/>
    <w:rsid w:val="00BA4D98"/>
    <w:rsid w:val="00BA7775"/>
    <w:rsid w:val="00BB248B"/>
    <w:rsid w:val="00BB3E37"/>
    <w:rsid w:val="00BD232D"/>
    <w:rsid w:val="00BD6B5C"/>
    <w:rsid w:val="00BE4208"/>
    <w:rsid w:val="00BE67D1"/>
    <w:rsid w:val="00BF59C4"/>
    <w:rsid w:val="00C01275"/>
    <w:rsid w:val="00C17530"/>
    <w:rsid w:val="00C203E3"/>
    <w:rsid w:val="00C25C9F"/>
    <w:rsid w:val="00C33264"/>
    <w:rsid w:val="00C358DC"/>
    <w:rsid w:val="00C42724"/>
    <w:rsid w:val="00C53159"/>
    <w:rsid w:val="00C54DF7"/>
    <w:rsid w:val="00C617A1"/>
    <w:rsid w:val="00C6284D"/>
    <w:rsid w:val="00C63916"/>
    <w:rsid w:val="00C73D53"/>
    <w:rsid w:val="00C8577A"/>
    <w:rsid w:val="00CC46B2"/>
    <w:rsid w:val="00CC76E0"/>
    <w:rsid w:val="00CD042B"/>
    <w:rsid w:val="00CD0819"/>
    <w:rsid w:val="00CD659B"/>
    <w:rsid w:val="00CE21CD"/>
    <w:rsid w:val="00CE5E11"/>
    <w:rsid w:val="00D0112C"/>
    <w:rsid w:val="00D01867"/>
    <w:rsid w:val="00D10E8C"/>
    <w:rsid w:val="00D12700"/>
    <w:rsid w:val="00D1444F"/>
    <w:rsid w:val="00D211F6"/>
    <w:rsid w:val="00D519F3"/>
    <w:rsid w:val="00D560DA"/>
    <w:rsid w:val="00D64348"/>
    <w:rsid w:val="00D6684A"/>
    <w:rsid w:val="00D66CF1"/>
    <w:rsid w:val="00D70A94"/>
    <w:rsid w:val="00D70CA4"/>
    <w:rsid w:val="00D77676"/>
    <w:rsid w:val="00D9398A"/>
    <w:rsid w:val="00DA2BFE"/>
    <w:rsid w:val="00DA5DBE"/>
    <w:rsid w:val="00DA6447"/>
    <w:rsid w:val="00DB2B2B"/>
    <w:rsid w:val="00DB3C41"/>
    <w:rsid w:val="00DC0C15"/>
    <w:rsid w:val="00DC0EF8"/>
    <w:rsid w:val="00DC2100"/>
    <w:rsid w:val="00DC70F4"/>
    <w:rsid w:val="00DC7C11"/>
    <w:rsid w:val="00DD7A1F"/>
    <w:rsid w:val="00DE26A4"/>
    <w:rsid w:val="00DF0D15"/>
    <w:rsid w:val="00E02C87"/>
    <w:rsid w:val="00E06ADB"/>
    <w:rsid w:val="00E071EF"/>
    <w:rsid w:val="00E1478B"/>
    <w:rsid w:val="00E15B73"/>
    <w:rsid w:val="00E1661B"/>
    <w:rsid w:val="00E16F01"/>
    <w:rsid w:val="00E22DCC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2690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31E54"/>
    <w:rsid w:val="00F34950"/>
    <w:rsid w:val="00F4076D"/>
    <w:rsid w:val="00F446FF"/>
    <w:rsid w:val="00F6149C"/>
    <w:rsid w:val="00F75B9A"/>
    <w:rsid w:val="00F777E4"/>
    <w:rsid w:val="00F80055"/>
    <w:rsid w:val="00F97984"/>
    <w:rsid w:val="00FB2867"/>
    <w:rsid w:val="00FB2958"/>
    <w:rsid w:val="00FB78FA"/>
    <w:rsid w:val="00FC06ED"/>
    <w:rsid w:val="00FD2F90"/>
    <w:rsid w:val="00FD6B2A"/>
    <w:rsid w:val="00FE46F1"/>
    <w:rsid w:val="00FF2E92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3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ovid19/return-to-school/guidanc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return-to-school/supplement/2020-0724add-safety-guide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return-to-school/2020-0724remote-learning-guide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DESE-231-62783</_dlc_DocId>
    <_dlc_DocIdUrl xmlns="733efe1c-5bbe-4968-87dc-d400e65c879f">
      <Url>https://sharepoint.doemass.org/ese/webteam/cps/_layouts/DocIdRedir.aspx?ID=DESE-231-62783</Url>
      <Description>DESE-231-62783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7429-6BF6-4CCC-81F3-B4BFA68651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EFC87-8448-4CF9-9100-9E989929E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8BC5F-4FE8-431A-BF81-E6F944B33A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270A689-9023-49B5-BE24-82C49F3B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D36B1D-9CBF-4C41-86AA-4F487B0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 7 24 20 Guidance on Remote Learning and Courses Requiring Additional Safety Considerations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Guidance on Remote Learning and Courses Requiring Additional Safety Considerations (July 24, 2020)</dc:title>
  <dc:creator>DESE</dc:creator>
  <cp:lastModifiedBy>Zou, Dong (EOE)</cp:lastModifiedBy>
  <cp:revision>8</cp:revision>
  <cp:lastPrinted>2015-11-30T17:26:00Z</cp:lastPrinted>
  <dcterms:created xsi:type="dcterms:W3CDTF">2020-07-24T20:34:00Z</dcterms:created>
  <dcterms:modified xsi:type="dcterms:W3CDTF">2020-07-27T18:12:00Z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2020</vt:lpwstr>
  </property>
</Properties>
</file>