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41C7" w14:textId="64724EFC" w:rsidR="00963105" w:rsidRPr="00FA27B0" w:rsidRDefault="00233DAA" w:rsidP="00963105">
      <w:pPr>
        <w:spacing w:after="0" w:line="240" w:lineRule="auto"/>
        <w:jc w:val="center"/>
        <w:rPr>
          <w:b/>
          <w:color w:val="4F81BD" w:themeColor="accent1"/>
          <w:sz w:val="36"/>
          <w:szCs w:val="36"/>
        </w:rPr>
      </w:pPr>
      <w:bookmarkStart w:id="0" w:name="_Toc45196443"/>
      <w:bookmarkStart w:id="1" w:name="_GoBack"/>
      <w:r w:rsidRPr="00FA27B0">
        <w:rPr>
          <w:b/>
          <w:color w:val="4F81BD" w:themeColor="accent1"/>
          <w:sz w:val="36"/>
          <w:szCs w:val="36"/>
        </w:rPr>
        <w:t xml:space="preserve">Supplemental </w:t>
      </w:r>
      <w:r w:rsidR="00963105" w:rsidRPr="00FA27B0">
        <w:rPr>
          <w:b/>
          <w:color w:val="4F81BD" w:themeColor="accent1"/>
          <w:sz w:val="36"/>
          <w:szCs w:val="36"/>
        </w:rPr>
        <w:t xml:space="preserve">Guidance for </w:t>
      </w:r>
      <w:r w:rsidRPr="00FA27B0">
        <w:rPr>
          <w:b/>
          <w:color w:val="4F81BD" w:themeColor="accent1"/>
          <w:sz w:val="36"/>
          <w:szCs w:val="36"/>
        </w:rPr>
        <w:t>Student Groups</w:t>
      </w:r>
      <w:r w:rsidR="00A931D1" w:rsidRPr="00FA27B0">
        <w:rPr>
          <w:b/>
          <w:color w:val="4F81BD" w:themeColor="accent1"/>
          <w:sz w:val="36"/>
          <w:szCs w:val="36"/>
        </w:rPr>
        <w:t xml:space="preserve"> and School Events</w:t>
      </w:r>
      <w:r w:rsidRPr="00FA27B0">
        <w:rPr>
          <w:b/>
          <w:color w:val="4F81BD" w:themeColor="accent1"/>
          <w:sz w:val="36"/>
          <w:szCs w:val="36"/>
        </w:rPr>
        <w:t xml:space="preserve"> for School Year 2020-</w:t>
      </w:r>
      <w:r w:rsidR="00D14148">
        <w:rPr>
          <w:b/>
          <w:color w:val="4F81BD" w:themeColor="accent1"/>
          <w:sz w:val="36"/>
          <w:szCs w:val="36"/>
        </w:rPr>
        <w:t>20</w:t>
      </w:r>
      <w:r w:rsidRPr="00FA27B0">
        <w:rPr>
          <w:b/>
          <w:color w:val="4F81BD" w:themeColor="accent1"/>
          <w:sz w:val="36"/>
          <w:szCs w:val="36"/>
        </w:rPr>
        <w:t>21</w:t>
      </w:r>
    </w:p>
    <w:bookmarkEnd w:id="1"/>
    <w:p w14:paraId="69817D5F" w14:textId="77777777" w:rsidR="00A42BFF" w:rsidRPr="00FA27B0" w:rsidRDefault="00A42BFF" w:rsidP="00963105">
      <w:pPr>
        <w:pBdr>
          <w:top w:val="nil"/>
          <w:left w:val="nil"/>
          <w:bottom w:val="nil"/>
          <w:right w:val="nil"/>
          <w:between w:val="nil"/>
        </w:pBdr>
        <w:spacing w:after="0" w:line="240" w:lineRule="auto"/>
        <w:jc w:val="center"/>
        <w:rPr>
          <w:bCs/>
        </w:rPr>
      </w:pPr>
    </w:p>
    <w:p w14:paraId="64496454" w14:textId="1EBF3C53" w:rsidR="00963105" w:rsidRPr="00FA27B0" w:rsidRDefault="00021C03" w:rsidP="00963105">
      <w:pPr>
        <w:pBdr>
          <w:top w:val="nil"/>
          <w:left w:val="nil"/>
          <w:bottom w:val="nil"/>
          <w:right w:val="nil"/>
          <w:between w:val="nil"/>
        </w:pBdr>
        <w:spacing w:after="0" w:line="240" w:lineRule="auto"/>
        <w:jc w:val="center"/>
        <w:rPr>
          <w:bCs/>
        </w:rPr>
      </w:pPr>
      <w:r w:rsidRPr="00FA27B0">
        <w:rPr>
          <w:bCs/>
        </w:rPr>
        <w:t>August</w:t>
      </w:r>
      <w:r w:rsidR="00963105" w:rsidRPr="00FA27B0">
        <w:rPr>
          <w:bCs/>
        </w:rPr>
        <w:t xml:space="preserve"> </w:t>
      </w:r>
      <w:r w:rsidR="007C1F9B">
        <w:rPr>
          <w:bCs/>
        </w:rPr>
        <w:t>31</w:t>
      </w:r>
      <w:r w:rsidR="00963105" w:rsidRPr="00FA27B0">
        <w:rPr>
          <w:bCs/>
        </w:rPr>
        <w:t>, 2020</w:t>
      </w:r>
    </w:p>
    <w:p w14:paraId="6E9AE013" w14:textId="77777777" w:rsidR="00963105" w:rsidRPr="00FA27B0" w:rsidRDefault="00963105" w:rsidP="00963105">
      <w:pPr>
        <w:pStyle w:val="Heading1"/>
        <w:spacing w:line="240" w:lineRule="auto"/>
        <w:rPr>
          <w:sz w:val="28"/>
          <w:szCs w:val="28"/>
        </w:rPr>
      </w:pPr>
      <w:bookmarkStart w:id="2" w:name="_Toc45196440"/>
      <w:bookmarkStart w:id="3" w:name="_Toc46331888"/>
      <w:r w:rsidRPr="00FA27B0">
        <w:rPr>
          <w:sz w:val="28"/>
          <w:szCs w:val="28"/>
        </w:rPr>
        <w:t>Introduction</w:t>
      </w:r>
      <w:bookmarkEnd w:id="2"/>
      <w:bookmarkEnd w:id="3"/>
    </w:p>
    <w:p w14:paraId="469338E1" w14:textId="77777777" w:rsidR="00963105" w:rsidRPr="00FA27B0" w:rsidRDefault="00963105" w:rsidP="00963105">
      <w:pPr>
        <w:spacing w:after="0" w:line="240" w:lineRule="auto"/>
      </w:pPr>
    </w:p>
    <w:p w14:paraId="4438D623" w14:textId="30D06900" w:rsidR="00A931D1" w:rsidRPr="00FA27B0" w:rsidRDefault="00963105" w:rsidP="00963105">
      <w:pPr>
        <w:spacing w:after="0" w:line="240" w:lineRule="auto"/>
      </w:pPr>
      <w:r w:rsidRPr="00FA27B0">
        <w:t xml:space="preserve">As a supplement to DESE’s </w:t>
      </w:r>
      <w:hyperlink r:id="rId12" w:history="1">
        <w:r w:rsidR="00021C03" w:rsidRPr="00FA27B0">
          <w:rPr>
            <w:rStyle w:val="Hyperlink"/>
          </w:rPr>
          <w:t>Guidance for Courses Requiring Additional Safety Considerations During School Year 2020-2021</w:t>
        </w:r>
      </w:hyperlink>
      <w:r w:rsidR="00C748FF" w:rsidRPr="00FA27B0">
        <w:t xml:space="preserve"> </w:t>
      </w:r>
      <w:r w:rsidR="00C748FF" w:rsidRPr="00FA27B0">
        <w:rPr>
          <w:i/>
          <w:iCs/>
        </w:rPr>
        <w:t>(download)</w:t>
      </w:r>
      <w:r w:rsidR="005C27A6" w:rsidRPr="00FA27B0">
        <w:t xml:space="preserve"> and the Executive Office of Energy and Environmental Affairs</w:t>
      </w:r>
      <w:r w:rsidR="00EF7D91">
        <w:t>’</w:t>
      </w:r>
      <w:r w:rsidR="005C27A6" w:rsidRPr="00FA27B0">
        <w:t xml:space="preserve"> </w:t>
      </w:r>
      <w:hyperlink r:id="rId13" w:history="1">
        <w:r w:rsidR="005C27A6" w:rsidRPr="00FA27B0">
          <w:rPr>
            <w:rStyle w:val="Hyperlink"/>
          </w:rPr>
          <w:t>Youth and Adult Amateur Sport Activities Guidance</w:t>
        </w:r>
      </w:hyperlink>
      <w:r w:rsidR="005C27A6" w:rsidRPr="00FA27B0">
        <w:t xml:space="preserve"> </w:t>
      </w:r>
      <w:r w:rsidR="005C27A6" w:rsidRPr="00FA27B0">
        <w:rPr>
          <w:i/>
          <w:iCs/>
        </w:rPr>
        <w:t>(download)</w:t>
      </w:r>
      <w:r w:rsidR="00021C03" w:rsidRPr="00FA27B0">
        <w:rPr>
          <w:i/>
          <w:iCs/>
        </w:rPr>
        <w:t>,</w:t>
      </w:r>
      <w:r w:rsidRPr="00FA27B0">
        <w:t xml:space="preserve"> we are providing districts and schools with</w:t>
      </w:r>
      <w:r w:rsidR="0048503E" w:rsidRPr="00FA27B0">
        <w:t xml:space="preserve"> guidance </w:t>
      </w:r>
      <w:r w:rsidR="00A931D1" w:rsidRPr="00FA27B0">
        <w:t>for student groups that involve mixing of cohorts and school events</w:t>
      </w:r>
      <w:r w:rsidR="0048503E" w:rsidRPr="00FA27B0">
        <w:t xml:space="preserve"> that may require additional safety considerations</w:t>
      </w:r>
      <w:r w:rsidR="00A931D1" w:rsidRPr="00FA27B0">
        <w:t xml:space="preserve">. </w:t>
      </w:r>
    </w:p>
    <w:p w14:paraId="5244675A" w14:textId="77777777" w:rsidR="00A931D1" w:rsidRPr="00FA27B0" w:rsidRDefault="00A931D1" w:rsidP="00963105">
      <w:pPr>
        <w:spacing w:after="0" w:line="240" w:lineRule="auto"/>
      </w:pPr>
    </w:p>
    <w:p w14:paraId="33C91504" w14:textId="2E9F99A7" w:rsidR="00A931D1" w:rsidRPr="00FA27B0" w:rsidRDefault="00A931D1" w:rsidP="00A931D1">
      <w:pPr>
        <w:spacing w:after="0" w:line="240" w:lineRule="auto"/>
      </w:pPr>
      <w:r w:rsidRPr="00FA27B0">
        <w:t xml:space="preserve">Student activities provide important opportunities to develop leadership and teamwork skills, engage in new experiences, and serve their community. We strongly encourage schools and districts to continue providing these opportunities to students this fall. </w:t>
      </w:r>
      <w:r w:rsidRPr="00FA27B0">
        <w:rPr>
          <w:b/>
        </w:rPr>
        <w:t>Adaptations to these activities, however, are necessary to support the safety of students and staff</w:t>
      </w:r>
      <w:r w:rsidRPr="00FA27B0">
        <w:t>.</w:t>
      </w:r>
      <w:r w:rsidRPr="00FA27B0">
        <w:rPr>
          <w:bCs/>
        </w:rPr>
        <w:t xml:space="preserve"> </w:t>
      </w:r>
    </w:p>
    <w:p w14:paraId="4BEBE550" w14:textId="77777777" w:rsidR="00A931D1" w:rsidRPr="00FA27B0" w:rsidRDefault="00A931D1" w:rsidP="00963105">
      <w:pPr>
        <w:spacing w:after="0" w:line="240" w:lineRule="auto"/>
      </w:pPr>
    </w:p>
    <w:p w14:paraId="18F9F2DF" w14:textId="253DB8EB" w:rsidR="00963105" w:rsidRPr="00FA27B0" w:rsidRDefault="00A931D1" w:rsidP="00963105">
      <w:pPr>
        <w:spacing w:after="0" w:line="240" w:lineRule="auto"/>
      </w:pPr>
      <w:r w:rsidRPr="00FA27B0">
        <w:t>Specifically, this guidance covers:</w:t>
      </w:r>
    </w:p>
    <w:p w14:paraId="1F7D44A3" w14:textId="12B193CE" w:rsidR="00963105" w:rsidRPr="00FA27B0" w:rsidRDefault="00963105" w:rsidP="00C748FF">
      <w:pPr>
        <w:spacing w:after="0" w:line="240" w:lineRule="auto"/>
        <w:rPr>
          <w:b/>
          <w:bCs/>
        </w:rPr>
      </w:pPr>
    </w:p>
    <w:p w14:paraId="7FF80DB6" w14:textId="7C69F56A" w:rsidR="0048503E" w:rsidRPr="00FA27B0" w:rsidRDefault="0048503E" w:rsidP="00AE763F">
      <w:pPr>
        <w:pStyle w:val="ListParagraph"/>
        <w:numPr>
          <w:ilvl w:val="0"/>
          <w:numId w:val="23"/>
        </w:numPr>
        <w:spacing w:after="0" w:line="240" w:lineRule="auto"/>
        <w:rPr>
          <w:b/>
          <w:bCs/>
        </w:rPr>
      </w:pPr>
      <w:r w:rsidRPr="00FA27B0">
        <w:rPr>
          <w:b/>
          <w:bCs/>
        </w:rPr>
        <w:t>Student activities</w:t>
      </w:r>
      <w:r w:rsidR="00A931D1" w:rsidRPr="00FA27B0">
        <w:rPr>
          <w:b/>
          <w:bCs/>
        </w:rPr>
        <w:t xml:space="preserve"> before </w:t>
      </w:r>
      <w:r w:rsidR="002F0E20">
        <w:rPr>
          <w:b/>
          <w:bCs/>
        </w:rPr>
        <w:t>and</w:t>
      </w:r>
      <w:r w:rsidR="00A931D1" w:rsidRPr="00FA27B0">
        <w:rPr>
          <w:b/>
          <w:bCs/>
        </w:rPr>
        <w:t xml:space="preserve"> after school</w:t>
      </w:r>
    </w:p>
    <w:p w14:paraId="5A69B268" w14:textId="58C10560" w:rsidR="00597B77" w:rsidRPr="00FA27B0" w:rsidRDefault="00597B77" w:rsidP="0048503E">
      <w:pPr>
        <w:pStyle w:val="ListParagraph"/>
        <w:numPr>
          <w:ilvl w:val="1"/>
          <w:numId w:val="23"/>
        </w:numPr>
        <w:spacing w:after="0" w:line="240" w:lineRule="auto"/>
        <w:rPr>
          <w:b/>
          <w:bCs/>
        </w:rPr>
      </w:pPr>
      <w:r w:rsidRPr="00FA27B0">
        <w:rPr>
          <w:b/>
          <w:bCs/>
        </w:rPr>
        <w:t xml:space="preserve">Non-athletic student groups </w:t>
      </w:r>
    </w:p>
    <w:p w14:paraId="0C5EE1C7" w14:textId="42B9511E" w:rsidR="00AE763F" w:rsidRPr="00FA27B0" w:rsidRDefault="00C3378B" w:rsidP="0048503E">
      <w:pPr>
        <w:pStyle w:val="ListParagraph"/>
        <w:numPr>
          <w:ilvl w:val="1"/>
          <w:numId w:val="23"/>
        </w:numPr>
        <w:spacing w:after="0" w:line="240" w:lineRule="auto"/>
        <w:rPr>
          <w:b/>
          <w:bCs/>
        </w:rPr>
      </w:pPr>
      <w:r w:rsidRPr="00FA27B0">
        <w:rPr>
          <w:b/>
          <w:bCs/>
        </w:rPr>
        <w:t>Non-athletic i</w:t>
      </w:r>
      <w:r w:rsidR="00AE763F" w:rsidRPr="00FA27B0">
        <w:rPr>
          <w:b/>
          <w:bCs/>
        </w:rPr>
        <w:t>nterschool</w:t>
      </w:r>
      <w:r w:rsidR="00F824C6" w:rsidRPr="00FA27B0">
        <w:rPr>
          <w:b/>
          <w:bCs/>
        </w:rPr>
        <w:t xml:space="preserve"> competitions</w:t>
      </w:r>
    </w:p>
    <w:p w14:paraId="03F196DE" w14:textId="2A40684A" w:rsidR="00597B77" w:rsidRPr="00FA27B0" w:rsidRDefault="00597B77" w:rsidP="0048503E">
      <w:pPr>
        <w:pStyle w:val="ListParagraph"/>
        <w:numPr>
          <w:ilvl w:val="1"/>
          <w:numId w:val="23"/>
        </w:numPr>
        <w:spacing w:after="0" w:line="240" w:lineRule="auto"/>
        <w:rPr>
          <w:b/>
          <w:bCs/>
        </w:rPr>
      </w:pPr>
      <w:r w:rsidRPr="00FA27B0">
        <w:rPr>
          <w:b/>
          <w:bCs/>
        </w:rPr>
        <w:t>Volunteering</w:t>
      </w:r>
    </w:p>
    <w:p w14:paraId="03EDA10C" w14:textId="5DD75D33" w:rsidR="0048503E" w:rsidRPr="00FA27B0" w:rsidRDefault="00E71628" w:rsidP="00597B77">
      <w:pPr>
        <w:pStyle w:val="ListParagraph"/>
        <w:numPr>
          <w:ilvl w:val="0"/>
          <w:numId w:val="23"/>
        </w:numPr>
        <w:spacing w:after="0" w:line="240" w:lineRule="auto"/>
        <w:rPr>
          <w:b/>
          <w:bCs/>
        </w:rPr>
      </w:pPr>
      <w:r>
        <w:rPr>
          <w:b/>
          <w:bCs/>
        </w:rPr>
        <w:t>G</w:t>
      </w:r>
      <w:r w:rsidR="0048503E" w:rsidRPr="00FA27B0">
        <w:rPr>
          <w:b/>
          <w:bCs/>
        </w:rPr>
        <w:t>atherings</w:t>
      </w:r>
      <w:r>
        <w:rPr>
          <w:b/>
          <w:bCs/>
        </w:rPr>
        <w:t xml:space="preserve"> with outside participants</w:t>
      </w:r>
    </w:p>
    <w:p w14:paraId="536DF650" w14:textId="5EE4AF37" w:rsidR="0048503E" w:rsidRPr="00FA27B0" w:rsidRDefault="0048503E" w:rsidP="0048503E">
      <w:pPr>
        <w:pStyle w:val="ListParagraph"/>
        <w:numPr>
          <w:ilvl w:val="0"/>
          <w:numId w:val="23"/>
        </w:numPr>
        <w:spacing w:after="0" w:line="240" w:lineRule="auto"/>
        <w:rPr>
          <w:b/>
          <w:bCs/>
        </w:rPr>
      </w:pPr>
      <w:r w:rsidRPr="00FA27B0">
        <w:rPr>
          <w:b/>
          <w:bCs/>
        </w:rPr>
        <w:t>Leaving school grounds</w:t>
      </w:r>
    </w:p>
    <w:p w14:paraId="6F65BA02" w14:textId="77777777" w:rsidR="00D60620" w:rsidRPr="00FA27B0" w:rsidRDefault="00D60620" w:rsidP="00963105">
      <w:pPr>
        <w:spacing w:after="0" w:line="240" w:lineRule="auto"/>
      </w:pPr>
    </w:p>
    <w:p w14:paraId="3BEEB6C9" w14:textId="2979FA0B" w:rsidR="00963105" w:rsidRPr="00FA27B0" w:rsidRDefault="00E22B42" w:rsidP="00963105">
      <w:pPr>
        <w:spacing w:after="0" w:line="240" w:lineRule="auto"/>
        <w:rPr>
          <w:b/>
          <w:bCs/>
        </w:rPr>
      </w:pPr>
      <w:r w:rsidRPr="00FA27B0">
        <w:rPr>
          <w:b/>
          <w:bCs/>
        </w:rPr>
        <w:t>This guidance is being released in</w:t>
      </w:r>
      <w:r w:rsidR="00021C03" w:rsidRPr="00FA27B0">
        <w:rPr>
          <w:b/>
          <w:bCs/>
        </w:rPr>
        <w:t xml:space="preserve"> August</w:t>
      </w:r>
      <w:r w:rsidRPr="00FA27B0">
        <w:rPr>
          <w:b/>
          <w:bCs/>
        </w:rPr>
        <w:t xml:space="preserve"> 2020 and </w:t>
      </w:r>
      <w:r w:rsidRPr="00FA27B0">
        <w:rPr>
          <w:b/>
          <w:bCs/>
          <w:u w:val="single"/>
        </w:rPr>
        <w:t>may be revised</w:t>
      </w:r>
      <w:r w:rsidRPr="00FA27B0">
        <w:rPr>
          <w:b/>
          <w:bCs/>
        </w:rPr>
        <w:t xml:space="preserve"> as we continue to monitor COVID-19 trends and the latest medical research.</w:t>
      </w:r>
      <w:r w:rsidR="0048503E" w:rsidRPr="00FA27B0">
        <w:rPr>
          <w:b/>
          <w:bCs/>
        </w:rPr>
        <w:t xml:space="preserve"> </w:t>
      </w:r>
      <w:r w:rsidR="0048503E" w:rsidRPr="00FA27B0">
        <w:t>Districts and schools should also reference the extensive reopening guidance issued by DESE for more information on core health and safety practices that schools must adopt this fall.</w:t>
      </w:r>
    </w:p>
    <w:p w14:paraId="145C8DCD" w14:textId="3D1DC03C" w:rsidR="00C97D64" w:rsidRPr="00FA27B0" w:rsidRDefault="00A062F1" w:rsidP="00C748FF">
      <w:pPr>
        <w:pStyle w:val="Heading1"/>
        <w:spacing w:line="240" w:lineRule="auto"/>
        <w:rPr>
          <w:sz w:val="28"/>
          <w:szCs w:val="28"/>
        </w:rPr>
      </w:pPr>
      <w:bookmarkStart w:id="4" w:name="_Increased_aerosol_emissions"/>
      <w:bookmarkStart w:id="5" w:name="_Toc45196446"/>
      <w:bookmarkStart w:id="6" w:name="_Toc46390504"/>
      <w:bookmarkEnd w:id="0"/>
      <w:bookmarkEnd w:id="4"/>
      <w:r w:rsidRPr="00FA27B0">
        <w:rPr>
          <w:sz w:val="28"/>
          <w:szCs w:val="28"/>
        </w:rPr>
        <w:t xml:space="preserve">Specific guidance by type of </w:t>
      </w:r>
      <w:bookmarkStart w:id="7" w:name="_Toc45196447"/>
      <w:bookmarkEnd w:id="5"/>
      <w:bookmarkEnd w:id="6"/>
      <w:r w:rsidR="00F477B7" w:rsidRPr="00FA27B0">
        <w:rPr>
          <w:sz w:val="28"/>
          <w:szCs w:val="28"/>
        </w:rPr>
        <w:t>activity</w:t>
      </w:r>
    </w:p>
    <w:p w14:paraId="0E4CCA2D" w14:textId="5E7EA7D6" w:rsidR="00597B77" w:rsidRPr="00FA27B0" w:rsidRDefault="00597B77" w:rsidP="00597B77">
      <w:pPr>
        <w:pStyle w:val="Heading2"/>
      </w:pPr>
      <w:bookmarkStart w:id="8" w:name="_Toc45196456"/>
      <w:bookmarkStart w:id="9" w:name="_Toc46331907"/>
      <w:bookmarkEnd w:id="7"/>
      <w:r w:rsidRPr="00FA27B0">
        <w:t>Non-athletic student groups</w:t>
      </w:r>
      <w:bookmarkEnd w:id="8"/>
      <w:bookmarkEnd w:id="9"/>
      <w:r w:rsidR="00855F96" w:rsidRPr="00FA27B0">
        <w:br/>
      </w:r>
    </w:p>
    <w:p w14:paraId="32F4E283" w14:textId="2F19DC49" w:rsidR="00597B77" w:rsidRPr="00FA27B0" w:rsidRDefault="00597B77" w:rsidP="00597B77">
      <w:pPr>
        <w:spacing w:after="0"/>
      </w:pPr>
      <w:r w:rsidRPr="00FA27B0">
        <w:t xml:space="preserve">Non-athletic student group meetings are likely to involve increased mixing between student cohorts. This may be more relevant for elementary students, who likely will have stricter cohorts. </w:t>
      </w:r>
      <w:r w:rsidRPr="00725508">
        <w:rPr>
          <w:b/>
          <w:bCs/>
          <w:u w:val="single"/>
        </w:rPr>
        <w:t xml:space="preserve">Whenever </w:t>
      </w:r>
      <w:r w:rsidR="000D092D" w:rsidRPr="00725508">
        <w:rPr>
          <w:b/>
          <w:bCs/>
          <w:u w:val="single"/>
        </w:rPr>
        <w:t>feasible and to the maximum extent possible</w:t>
      </w:r>
      <w:r w:rsidRPr="00725508">
        <w:rPr>
          <w:b/>
          <w:bCs/>
          <w:u w:val="single"/>
        </w:rPr>
        <w:t>, these meetings should be held virtually.</w:t>
      </w:r>
      <w:r w:rsidRPr="00FA27B0">
        <w:rPr>
          <w:u w:val="single"/>
        </w:rPr>
        <w:t xml:space="preserve"> </w:t>
      </w:r>
      <w:r w:rsidRPr="00FA27B0">
        <w:rPr>
          <w:u w:val="single"/>
        </w:rPr>
        <w:br/>
      </w:r>
      <w:r w:rsidRPr="00FA27B0">
        <w:br/>
        <w:t xml:space="preserve">For </w:t>
      </w:r>
      <w:r w:rsidR="004C479C" w:rsidRPr="00FA27B0">
        <w:t>in-person meetings</w:t>
      </w:r>
      <w:r w:rsidRPr="00FA27B0">
        <w:t>, we recommend the following guidelines</w:t>
      </w:r>
      <w:r w:rsidR="00157A3F">
        <w:t>:</w:t>
      </w:r>
      <w:r w:rsidRPr="00FA27B0">
        <w:t xml:space="preserve"> </w:t>
      </w:r>
      <w:r w:rsidRPr="00FA27B0">
        <w:br/>
      </w:r>
    </w:p>
    <w:p w14:paraId="77A27DF9" w14:textId="77777777" w:rsidR="00597B77" w:rsidRPr="00FA27B0" w:rsidRDefault="00597B77" w:rsidP="00597B77">
      <w:pPr>
        <w:numPr>
          <w:ilvl w:val="0"/>
          <w:numId w:val="5"/>
        </w:numPr>
        <w:spacing w:after="0"/>
      </w:pPr>
      <w:r w:rsidRPr="00FA27B0">
        <w:t xml:space="preserve">Group meetings should be supervised by staff and must abide by DESE’s core health and safety guidelines (including masks, physical distance, frequent handwashing). </w:t>
      </w:r>
    </w:p>
    <w:p w14:paraId="2FC7B71D" w14:textId="12B72E32" w:rsidR="00597B77" w:rsidRPr="00FA27B0" w:rsidRDefault="00597B77" w:rsidP="00597B77">
      <w:pPr>
        <w:numPr>
          <w:ilvl w:val="0"/>
          <w:numId w:val="5"/>
        </w:numPr>
        <w:spacing w:after="0"/>
      </w:pPr>
      <w:r w:rsidRPr="00FA27B0">
        <w:lastRenderedPageBreak/>
        <w:t xml:space="preserve">Groups that work collaboratively (e.g., student newspaper, yearbook) should abide by the shared equipment guidance previously released in the </w:t>
      </w:r>
      <w:hyperlink r:id="rId14" w:history="1">
        <w:r w:rsidRPr="00FA27B0">
          <w:rPr>
            <w:rStyle w:val="Hyperlink"/>
          </w:rPr>
          <w:t>Guidance for Courses Requiring Additional Safety Considerations During School Year 2020-2021</w:t>
        </w:r>
      </w:hyperlink>
      <w:r w:rsidRPr="00FA27B0">
        <w:t xml:space="preserve"> </w:t>
      </w:r>
      <w:r w:rsidRPr="00FA27B0">
        <w:rPr>
          <w:i/>
          <w:iCs/>
        </w:rPr>
        <w:t>(download).</w:t>
      </w:r>
    </w:p>
    <w:p w14:paraId="1BC89E8A" w14:textId="3A775BE8" w:rsidR="00597B77" w:rsidRPr="00FA27B0" w:rsidRDefault="000D092D" w:rsidP="00597B77">
      <w:pPr>
        <w:numPr>
          <w:ilvl w:val="0"/>
          <w:numId w:val="5"/>
        </w:numPr>
        <w:spacing w:after="0"/>
      </w:pPr>
      <w:r w:rsidRPr="00725508">
        <w:t xml:space="preserve">Group sizes should be </w:t>
      </w:r>
      <w:proofErr w:type="gramStart"/>
      <w:r w:rsidRPr="00725508">
        <w:t>reduced</w:t>
      </w:r>
      <w:proofErr w:type="gramEnd"/>
      <w:r w:rsidRPr="00725508">
        <w:t xml:space="preserve"> and work organized into cohorts</w:t>
      </w:r>
      <w:r w:rsidR="000F3D05" w:rsidRPr="00725508">
        <w:t xml:space="preserve"> to the extent feasible</w:t>
      </w:r>
      <w:r w:rsidRPr="00725508">
        <w:t>.</w:t>
      </w:r>
      <w:r>
        <w:t xml:space="preserve"> </w:t>
      </w:r>
    </w:p>
    <w:p w14:paraId="475DCA0E" w14:textId="3BF9A2B8" w:rsidR="00F824C6" w:rsidRPr="00FA27B0" w:rsidRDefault="00C3378B" w:rsidP="00AC7B66">
      <w:pPr>
        <w:pStyle w:val="Heading2"/>
      </w:pPr>
      <w:r w:rsidRPr="00FA27B0">
        <w:t>Non-athletic i</w:t>
      </w:r>
      <w:r w:rsidR="00F477B7" w:rsidRPr="00FA27B0">
        <w:t>nterschool</w:t>
      </w:r>
      <w:r w:rsidR="00F824C6" w:rsidRPr="00FA27B0">
        <w:t xml:space="preserve"> competitions</w:t>
      </w:r>
      <w:r w:rsidR="00855F96" w:rsidRPr="00FA27B0">
        <w:br/>
      </w:r>
    </w:p>
    <w:p w14:paraId="2475467A" w14:textId="72970D89" w:rsidR="00F824C6" w:rsidRPr="00FA27B0" w:rsidRDefault="00AE763F" w:rsidP="00AE763F">
      <w:pPr>
        <w:spacing w:after="0"/>
      </w:pPr>
      <w:r w:rsidRPr="00725508">
        <w:rPr>
          <w:b/>
          <w:bCs/>
          <w:u w:val="single"/>
        </w:rPr>
        <w:t xml:space="preserve">Whenever </w:t>
      </w:r>
      <w:r w:rsidR="000D092D" w:rsidRPr="00725508">
        <w:rPr>
          <w:b/>
          <w:bCs/>
          <w:u w:val="single"/>
        </w:rPr>
        <w:t>feasible and to the maximum extent possible</w:t>
      </w:r>
      <w:r w:rsidR="00F824C6" w:rsidRPr="00725508">
        <w:rPr>
          <w:b/>
          <w:bCs/>
          <w:u w:val="single"/>
        </w:rPr>
        <w:t>, interschool competitions should be held virtually.</w:t>
      </w:r>
      <w:r w:rsidR="00F824C6" w:rsidRPr="00FA27B0">
        <w:t xml:space="preserve"> </w:t>
      </w:r>
      <w:r w:rsidRPr="00FA27B0">
        <w:t>There are online resources to support these virtual interactions.</w:t>
      </w:r>
      <w:r w:rsidRPr="00FA27B0">
        <w:rPr>
          <w:rStyle w:val="EndnoteReference"/>
        </w:rPr>
        <w:endnoteReference w:id="2"/>
      </w:r>
      <w:r w:rsidRPr="00FA27B0">
        <w:t xml:space="preserve"> </w:t>
      </w:r>
      <w:r w:rsidR="00F23B11" w:rsidRPr="00FA27B0">
        <w:t>I</w:t>
      </w:r>
      <w:r w:rsidR="00FA27B0" w:rsidRPr="00FA27B0">
        <w:t>n-person i</w:t>
      </w:r>
      <w:r w:rsidR="00F23B11" w:rsidRPr="00FA27B0">
        <w:t xml:space="preserve">nterschool competitions are permitted if at least </w:t>
      </w:r>
      <w:r w:rsidR="00955067">
        <w:t>6</w:t>
      </w:r>
      <w:r w:rsidR="00F23B11" w:rsidRPr="00FA27B0">
        <w:t xml:space="preserve"> feet of distance can be maintained between individuals </w:t>
      </w:r>
      <w:r w:rsidR="00C2512A" w:rsidRPr="00FA27B0">
        <w:t>and participants and attendees wear masks at all times</w:t>
      </w:r>
      <w:r w:rsidR="00F23B11" w:rsidRPr="00FA27B0">
        <w:t xml:space="preserve">. </w:t>
      </w:r>
      <w:r w:rsidRPr="00FA27B0">
        <w:br/>
      </w:r>
    </w:p>
    <w:p w14:paraId="5D29223E" w14:textId="2B5FD823" w:rsidR="00AC7B66" w:rsidRPr="00FA27B0" w:rsidRDefault="00AC7B66" w:rsidP="00F824C6">
      <w:pPr>
        <w:pStyle w:val="ListParagraph"/>
        <w:numPr>
          <w:ilvl w:val="0"/>
          <w:numId w:val="13"/>
        </w:numPr>
      </w:pPr>
      <w:r w:rsidRPr="00FA27B0">
        <w:t xml:space="preserve">If an interschool competition is held in person, it must abide by the guidelines </w:t>
      </w:r>
      <w:r w:rsidR="00955067">
        <w:t xml:space="preserve">below </w:t>
      </w:r>
      <w:r w:rsidRPr="00FA27B0">
        <w:t>for large gatherings and leaving school grounds</w:t>
      </w:r>
      <w:r w:rsidR="00AE763F" w:rsidRPr="00FA27B0">
        <w:t>.</w:t>
      </w:r>
    </w:p>
    <w:p w14:paraId="18E94005" w14:textId="682865DE" w:rsidR="00F23B11" w:rsidRPr="00FA27B0" w:rsidRDefault="00AC7B66" w:rsidP="00F824C6">
      <w:pPr>
        <w:pStyle w:val="ListParagraph"/>
        <w:numPr>
          <w:ilvl w:val="0"/>
          <w:numId w:val="13"/>
        </w:numPr>
      </w:pPr>
      <w:r w:rsidRPr="00FA27B0">
        <w:t xml:space="preserve">To the </w:t>
      </w:r>
      <w:r w:rsidR="000D092D" w:rsidRPr="002B4AFA">
        <w:t>maximum</w:t>
      </w:r>
      <w:r w:rsidR="000D092D">
        <w:t xml:space="preserve"> </w:t>
      </w:r>
      <w:r w:rsidRPr="00FA27B0">
        <w:t>extent feasible, interschool competitions should:</w:t>
      </w:r>
    </w:p>
    <w:p w14:paraId="6DE96C10" w14:textId="6E527519" w:rsidR="00C2512A" w:rsidRPr="00FA27B0" w:rsidRDefault="000D092D" w:rsidP="00C2512A">
      <w:pPr>
        <w:pStyle w:val="ListParagraph"/>
        <w:numPr>
          <w:ilvl w:val="1"/>
          <w:numId w:val="13"/>
        </w:numPr>
      </w:pPr>
      <w:r w:rsidRPr="002B4AFA">
        <w:t xml:space="preserve">Not </w:t>
      </w:r>
      <w:r w:rsidR="00C2512A" w:rsidRPr="002B4AFA">
        <w:t>share</w:t>
      </w:r>
      <w:r w:rsidR="00C2512A" w:rsidRPr="00FA27B0">
        <w:t xml:space="preserve"> equipment </w:t>
      </w:r>
    </w:p>
    <w:p w14:paraId="2F8C42F5" w14:textId="5E0DFCC3" w:rsidR="00C2512A" w:rsidRPr="00FA27B0" w:rsidRDefault="00DA096D" w:rsidP="00C2512A">
      <w:pPr>
        <w:pStyle w:val="ListParagraph"/>
        <w:numPr>
          <w:ilvl w:val="1"/>
          <w:numId w:val="13"/>
        </w:numPr>
      </w:pPr>
      <w:r>
        <w:t xml:space="preserve">Be </w:t>
      </w:r>
      <w:r w:rsidR="00030BD2">
        <w:t xml:space="preserve">held </w:t>
      </w:r>
      <w:r>
        <w:t>outdoors</w:t>
      </w:r>
      <w:r w:rsidR="00A66893">
        <w:t>, if possible</w:t>
      </w:r>
    </w:p>
    <w:p w14:paraId="10D41E26" w14:textId="1D57E4D7" w:rsidR="00C2512A" w:rsidRPr="00FA27B0" w:rsidRDefault="00C2512A" w:rsidP="00C2512A">
      <w:pPr>
        <w:pStyle w:val="ListParagraph"/>
        <w:numPr>
          <w:ilvl w:val="1"/>
          <w:numId w:val="13"/>
        </w:numPr>
      </w:pPr>
      <w:r w:rsidRPr="00FA27B0">
        <w:t>Shorten events or reduce participants</w:t>
      </w:r>
    </w:p>
    <w:p w14:paraId="09B242CA" w14:textId="752EA406" w:rsidR="00F477B7" w:rsidRPr="00FA27B0" w:rsidRDefault="00C2512A" w:rsidP="00AC7B66">
      <w:pPr>
        <w:pStyle w:val="ListParagraph"/>
        <w:numPr>
          <w:ilvl w:val="1"/>
          <w:numId w:val="13"/>
        </w:numPr>
      </w:pPr>
      <w:r w:rsidRPr="00FA27B0">
        <w:t>Incorporate protective equipment in a safe manner to further reduce spread of respiratory particles</w:t>
      </w:r>
    </w:p>
    <w:p w14:paraId="1BD35A1F" w14:textId="72E44ED9" w:rsidR="00597B77" w:rsidRPr="00FA27B0" w:rsidRDefault="00597B77" w:rsidP="00597B77">
      <w:pPr>
        <w:pStyle w:val="Heading2"/>
      </w:pPr>
      <w:bookmarkStart w:id="10" w:name="_Toc46331908"/>
      <w:r w:rsidRPr="00FA27B0">
        <w:t>Volunteering</w:t>
      </w:r>
      <w:bookmarkEnd w:id="10"/>
      <w:r w:rsidR="00855F96" w:rsidRPr="00FA27B0">
        <w:br/>
      </w:r>
    </w:p>
    <w:p w14:paraId="1635074B" w14:textId="77777777" w:rsidR="00597B77" w:rsidRPr="00FA27B0" w:rsidRDefault="00597B77" w:rsidP="00597B77">
      <w:pPr>
        <w:numPr>
          <w:ilvl w:val="0"/>
          <w:numId w:val="5"/>
        </w:numPr>
        <w:spacing w:after="0"/>
      </w:pPr>
      <w:r w:rsidRPr="00FA27B0">
        <w:t>Any volunteer activities must abide by DESE’s core health and safety guidelines (including masks, physical distance, frequent handwashing).</w:t>
      </w:r>
    </w:p>
    <w:p w14:paraId="0B658C49" w14:textId="77777777" w:rsidR="00597B77" w:rsidRPr="00FA27B0" w:rsidRDefault="00597B77" w:rsidP="00597B77">
      <w:pPr>
        <w:numPr>
          <w:ilvl w:val="0"/>
          <w:numId w:val="5"/>
        </w:numPr>
        <w:spacing w:after="0"/>
      </w:pPr>
      <w:r w:rsidRPr="00FA27B0">
        <w:t>Consider volunteer activities that are outdoors and do not require person-to-person interaction (e.g., planting flowers in a park).</w:t>
      </w:r>
    </w:p>
    <w:p w14:paraId="143F9471" w14:textId="77777777" w:rsidR="0048503E" w:rsidRPr="00FA27B0" w:rsidRDefault="00597B77" w:rsidP="004063FE">
      <w:pPr>
        <w:numPr>
          <w:ilvl w:val="0"/>
          <w:numId w:val="5"/>
        </w:numPr>
        <w:spacing w:after="0"/>
      </w:pPr>
      <w:r w:rsidRPr="00FA27B0">
        <w:t>Consider virtual volunteer service (e.g., younger student mentor program, pen pals).</w:t>
      </w:r>
    </w:p>
    <w:p w14:paraId="20AC71DA" w14:textId="77777777" w:rsidR="0048503E" w:rsidRPr="00FA27B0" w:rsidRDefault="0048503E" w:rsidP="0048503E">
      <w:pPr>
        <w:spacing w:after="0"/>
      </w:pPr>
    </w:p>
    <w:p w14:paraId="12986D53" w14:textId="5CADEAD6" w:rsidR="0048503E" w:rsidRPr="00FA27B0" w:rsidRDefault="0048503E" w:rsidP="0048503E">
      <w:pPr>
        <w:pStyle w:val="Heading1"/>
        <w:spacing w:line="240" w:lineRule="auto"/>
        <w:rPr>
          <w:sz w:val="28"/>
          <w:szCs w:val="28"/>
        </w:rPr>
      </w:pPr>
      <w:bookmarkStart w:id="11" w:name="_Toc46331890"/>
      <w:r w:rsidRPr="00FA27B0">
        <w:rPr>
          <w:sz w:val="28"/>
          <w:szCs w:val="28"/>
        </w:rPr>
        <w:t>General guidance for gatherings</w:t>
      </w:r>
      <w:r w:rsidR="000F3D05">
        <w:rPr>
          <w:sz w:val="28"/>
          <w:szCs w:val="28"/>
        </w:rPr>
        <w:t xml:space="preserve"> with outside participants</w:t>
      </w:r>
      <w:r w:rsidRPr="00FA27B0">
        <w:rPr>
          <w:sz w:val="28"/>
          <w:szCs w:val="28"/>
        </w:rPr>
        <w:t xml:space="preserve"> or leaving school grounds</w:t>
      </w:r>
      <w:bookmarkStart w:id="12" w:name="_Courses_that_involve"/>
      <w:bookmarkStart w:id="13" w:name="_Courses_that_require"/>
      <w:bookmarkStart w:id="14" w:name="_Leaving_school_grounds"/>
      <w:bookmarkStart w:id="15" w:name="_Toc46331895"/>
      <w:bookmarkEnd w:id="11"/>
      <w:bookmarkEnd w:id="12"/>
      <w:bookmarkEnd w:id="13"/>
      <w:bookmarkEnd w:id="14"/>
    </w:p>
    <w:p w14:paraId="7CA6B44F" w14:textId="2E1ECC8D" w:rsidR="0048503E" w:rsidRPr="00FA27B0" w:rsidRDefault="000F3D05" w:rsidP="0048503E">
      <w:pPr>
        <w:pStyle w:val="Heading2"/>
      </w:pPr>
      <w:bookmarkStart w:id="16" w:name="_Hlk49517417"/>
      <w:bookmarkEnd w:id="15"/>
      <w:r w:rsidRPr="002B4AFA">
        <w:t>G</w:t>
      </w:r>
      <w:r w:rsidR="0048503E" w:rsidRPr="002B4AFA">
        <w:t>atherings</w:t>
      </w:r>
      <w:r w:rsidRPr="002B4AFA">
        <w:t xml:space="preserve"> of </w:t>
      </w:r>
      <w:r w:rsidR="00BF6E9E" w:rsidRPr="002B4AFA">
        <w:t>10</w:t>
      </w:r>
      <w:r w:rsidRPr="002B4AFA">
        <w:t xml:space="preserve"> or more that include outside participants</w:t>
      </w:r>
      <w:r>
        <w:t xml:space="preserve"> </w:t>
      </w:r>
      <w:bookmarkEnd w:id="16"/>
      <w:r w:rsidR="0048503E" w:rsidRPr="00FA27B0">
        <w:br/>
      </w:r>
    </w:p>
    <w:p w14:paraId="22602C84" w14:textId="477A532F" w:rsidR="0048503E" w:rsidRPr="00FA27B0" w:rsidRDefault="0048503E" w:rsidP="0048503E">
      <w:bookmarkStart w:id="17" w:name="_Hlk49184289"/>
      <w:r w:rsidRPr="002B4AFA">
        <w:rPr>
          <w:b/>
          <w:bCs/>
          <w:u w:val="single"/>
        </w:rPr>
        <w:t xml:space="preserve">Whenever </w:t>
      </w:r>
      <w:r w:rsidR="000D092D" w:rsidRPr="002B4AFA">
        <w:rPr>
          <w:b/>
          <w:bCs/>
          <w:u w:val="single"/>
        </w:rPr>
        <w:t xml:space="preserve">feasible and to the maximum extent </w:t>
      </w:r>
      <w:r w:rsidRPr="002B4AFA">
        <w:rPr>
          <w:b/>
          <w:bCs/>
          <w:u w:val="single"/>
        </w:rPr>
        <w:t xml:space="preserve">possible, </w:t>
      </w:r>
      <w:r w:rsidR="000F3D05" w:rsidRPr="002B4AFA">
        <w:rPr>
          <w:b/>
          <w:bCs/>
          <w:u w:val="single"/>
        </w:rPr>
        <w:t xml:space="preserve">these </w:t>
      </w:r>
      <w:r w:rsidRPr="002B4AFA">
        <w:rPr>
          <w:b/>
          <w:bCs/>
          <w:u w:val="single"/>
        </w:rPr>
        <w:t>gatherings should be moved online.</w:t>
      </w:r>
      <w:r w:rsidRPr="00FA27B0">
        <w:t xml:space="preserve"> Online events can be held where all participants are virtual, or where students and staff are in person, but audiences are virtual.</w:t>
      </w:r>
    </w:p>
    <w:p w14:paraId="5E989A7E" w14:textId="40E73DEE" w:rsidR="0048503E" w:rsidRPr="00FA27B0" w:rsidRDefault="0048503E" w:rsidP="0048503E">
      <w:r w:rsidRPr="00FA27B0">
        <w:rPr>
          <w:b/>
          <w:bCs/>
          <w:u w:val="single"/>
        </w:rPr>
        <w:t xml:space="preserve">In-person gatherings </w:t>
      </w:r>
      <w:r w:rsidRPr="002B4AFA">
        <w:rPr>
          <w:b/>
          <w:bCs/>
          <w:u w:val="single"/>
        </w:rPr>
        <w:t>(such as events</w:t>
      </w:r>
      <w:r w:rsidR="000F3D05" w:rsidRPr="002B4AFA">
        <w:rPr>
          <w:b/>
          <w:bCs/>
          <w:u w:val="single"/>
        </w:rPr>
        <w:t xml:space="preserve"> and </w:t>
      </w:r>
      <w:r w:rsidRPr="002B4AFA">
        <w:rPr>
          <w:b/>
          <w:bCs/>
          <w:u w:val="single"/>
        </w:rPr>
        <w:t>performances)</w:t>
      </w:r>
      <w:r w:rsidRPr="00FA27B0">
        <w:rPr>
          <w:b/>
          <w:bCs/>
          <w:u w:val="single"/>
        </w:rPr>
        <w:t xml:space="preserve"> should be discouraged and must abide by the following safety requirements.</w:t>
      </w:r>
      <w:r w:rsidRPr="00FA27B0">
        <w:t xml:space="preserve"> </w:t>
      </w:r>
      <w:bookmarkStart w:id="18" w:name="_Hlk49258700"/>
      <w:r w:rsidRPr="00FA27B0">
        <w:t>Only essential, student-centered events should be held in person, such as student group activities or interschool competitions. </w:t>
      </w:r>
    </w:p>
    <w:bookmarkEnd w:id="17"/>
    <w:bookmarkEnd w:id="18"/>
    <w:p w14:paraId="1F6BCC1C" w14:textId="5961E5AD" w:rsidR="0048503E" w:rsidRPr="00FA27B0" w:rsidRDefault="007C1F9B" w:rsidP="0048503E">
      <w:r w:rsidRPr="002B4AFA">
        <w:t xml:space="preserve">Gatherings of </w:t>
      </w:r>
      <w:r w:rsidR="00416379" w:rsidRPr="002B4AFA">
        <w:t>10</w:t>
      </w:r>
      <w:r w:rsidRPr="002B4AFA">
        <w:t xml:space="preserve"> or more that include outside participants</w:t>
      </w:r>
      <w:r w:rsidR="0048503E" w:rsidRPr="00FA27B0">
        <w:t xml:space="preserve">, such as in-person events, interschool competitions, and field trips, typically involve families and others outside of the school </w:t>
      </w:r>
      <w:r w:rsidR="0048503E" w:rsidRPr="00FA27B0">
        <w:lastRenderedPageBreak/>
        <w:t xml:space="preserve">community, including people who may be in higher risk groups. As a result, it is important to put in place additional safety considerations. </w:t>
      </w:r>
    </w:p>
    <w:p w14:paraId="05821D13" w14:textId="4C12362B" w:rsidR="0048503E" w:rsidRPr="00FA27B0" w:rsidRDefault="0048503E" w:rsidP="0048503E">
      <w:pPr>
        <w:pStyle w:val="ListParagraph"/>
        <w:numPr>
          <w:ilvl w:val="0"/>
          <w:numId w:val="21"/>
        </w:numPr>
        <w:shd w:val="clear" w:color="auto" w:fill="FFFFFF"/>
        <w:spacing w:after="0"/>
      </w:pPr>
      <w:r w:rsidRPr="00FA27B0">
        <w:t xml:space="preserve">Whenever </w:t>
      </w:r>
      <w:r w:rsidR="000D092D" w:rsidRPr="003241B0">
        <w:t xml:space="preserve">feasible and to the maximum extent </w:t>
      </w:r>
      <w:r w:rsidRPr="003241B0">
        <w:t>possible</w:t>
      </w:r>
      <w:r w:rsidRPr="00FA27B0">
        <w:t>, hold all events</w:t>
      </w:r>
      <w:r w:rsidR="00B00A5F">
        <w:t xml:space="preserve"> or </w:t>
      </w:r>
      <w:r w:rsidRPr="00FA27B0">
        <w:t>competitions</w:t>
      </w:r>
      <w:r w:rsidR="00B00A5F">
        <w:t xml:space="preserve"> </w:t>
      </w:r>
      <w:r w:rsidRPr="00FA27B0">
        <w:t xml:space="preserve">outdoors.  </w:t>
      </w:r>
    </w:p>
    <w:p w14:paraId="44C0CD5E" w14:textId="493E9B77" w:rsidR="0027048D" w:rsidRPr="00FA27B0" w:rsidRDefault="0027048D" w:rsidP="0027048D">
      <w:pPr>
        <w:pStyle w:val="ListParagraph"/>
        <w:numPr>
          <w:ilvl w:val="0"/>
          <w:numId w:val="21"/>
        </w:numPr>
        <w:shd w:val="clear" w:color="auto" w:fill="FFFFFF"/>
        <w:spacing w:after="0"/>
      </w:pPr>
      <w:r w:rsidRPr="00FA27B0">
        <w:t>Masks are required except when unsafe due to age, medical condition</w:t>
      </w:r>
      <w:r w:rsidR="00AF181D">
        <w:t>,</w:t>
      </w:r>
      <w:r w:rsidRPr="00FA27B0">
        <w:t xml:space="preserve"> or disability.</w:t>
      </w:r>
    </w:p>
    <w:p w14:paraId="6BA21FA4" w14:textId="2FC5BB07" w:rsidR="0048503E" w:rsidRPr="003241B0" w:rsidRDefault="007C1F9B" w:rsidP="007C1F9B">
      <w:pPr>
        <w:pStyle w:val="ListParagraph"/>
        <w:numPr>
          <w:ilvl w:val="0"/>
          <w:numId w:val="21"/>
        </w:numPr>
        <w:shd w:val="clear" w:color="auto" w:fill="FFFFFF"/>
        <w:spacing w:after="0"/>
      </w:pPr>
      <w:r w:rsidRPr="003241B0">
        <w:t xml:space="preserve">All participants must maintain </w:t>
      </w:r>
      <w:r w:rsidRPr="003241B0">
        <w:rPr>
          <w:u w:val="single"/>
        </w:rPr>
        <w:t>at least 6 feet of physical distance</w:t>
      </w:r>
      <w:r w:rsidRPr="003241B0">
        <w:t xml:space="preserve"> from every other participant in the gathering, aside from participants who are members of the same household. Additional physical distancing requirements for specific activities</w:t>
      </w:r>
      <w:r w:rsidR="00317C13" w:rsidRPr="003241B0">
        <w:t xml:space="preserve"> can be found</w:t>
      </w:r>
      <w:r w:rsidRPr="003241B0">
        <w:t xml:space="preserve"> in </w:t>
      </w:r>
      <w:r w:rsidR="0027048D" w:rsidRPr="003241B0">
        <w:t xml:space="preserve">DESE’s </w:t>
      </w:r>
      <w:hyperlink r:id="rId15" w:history="1">
        <w:r w:rsidR="0027048D" w:rsidRPr="003241B0">
          <w:rPr>
            <w:rStyle w:val="Hyperlink"/>
          </w:rPr>
          <w:t>Guidance for Courses Requiring Additional Safety Considerations During School Year 2020-2021</w:t>
        </w:r>
      </w:hyperlink>
      <w:r w:rsidRPr="003241B0">
        <w:t>.</w:t>
      </w:r>
      <w:r w:rsidR="0048503E" w:rsidRPr="003241B0">
        <w:rPr>
          <w:rStyle w:val="EndnoteReference"/>
        </w:rPr>
        <w:endnoteReference w:id="3"/>
      </w:r>
      <w:r w:rsidR="0048503E" w:rsidRPr="003241B0">
        <w:t xml:space="preserve"> </w:t>
      </w:r>
    </w:p>
    <w:p w14:paraId="45A4CA31" w14:textId="77777777" w:rsidR="0048503E" w:rsidRPr="003241B0" w:rsidRDefault="0048503E" w:rsidP="0048503E">
      <w:pPr>
        <w:pStyle w:val="ListParagraph"/>
        <w:numPr>
          <w:ilvl w:val="0"/>
          <w:numId w:val="21"/>
        </w:numPr>
        <w:shd w:val="clear" w:color="auto" w:fill="FFFFFF"/>
        <w:spacing w:after="0"/>
      </w:pPr>
      <w:r w:rsidRPr="003241B0">
        <w:t>Limit attendees to the extent feasible:</w:t>
      </w:r>
    </w:p>
    <w:p w14:paraId="00E66EB2" w14:textId="42613EAB" w:rsidR="007C1F9B" w:rsidRPr="003241B0" w:rsidRDefault="007C1F9B" w:rsidP="0048503E">
      <w:pPr>
        <w:pStyle w:val="ListParagraph"/>
        <w:numPr>
          <w:ilvl w:val="1"/>
          <w:numId w:val="21"/>
        </w:numPr>
        <w:shd w:val="clear" w:color="auto" w:fill="FFFFFF"/>
        <w:spacing w:after="0"/>
      </w:pPr>
      <w:r w:rsidRPr="003241B0">
        <w:t>Indoor gatherings are limited to 8 persons per 1,000 square feet of accessible, indoor floor space and never more than 25 persons in a single, enclosed indoor space.</w:t>
      </w:r>
    </w:p>
    <w:p w14:paraId="60424E66" w14:textId="27AE0DC0" w:rsidR="007C1F9B" w:rsidRPr="003241B0" w:rsidRDefault="007C1F9B" w:rsidP="0048503E">
      <w:pPr>
        <w:pStyle w:val="ListParagraph"/>
        <w:numPr>
          <w:ilvl w:val="1"/>
          <w:numId w:val="21"/>
        </w:numPr>
        <w:shd w:val="clear" w:color="auto" w:fill="FFFFFF"/>
        <w:spacing w:after="0"/>
      </w:pPr>
      <w:r w:rsidRPr="003241B0">
        <w:t>Outdoor gatherings are limited to 25</w:t>
      </w:r>
      <w:r w:rsidR="00340578" w:rsidRPr="003241B0">
        <w:t xml:space="preserve"> percent</w:t>
      </w:r>
      <w:r w:rsidRPr="003241B0">
        <w:t xml:space="preserve"> of the maximum permitted occupancy of the facility or space, or 8 persons per 1,000 square feet if no occupancy limitation is on record, and never more than 50 persons in a single outdoor space. </w:t>
      </w:r>
    </w:p>
    <w:p w14:paraId="75111A43" w14:textId="77777777" w:rsidR="0048503E" w:rsidRPr="00FA27B0" w:rsidRDefault="0048503E" w:rsidP="0048503E">
      <w:pPr>
        <w:pStyle w:val="ListParagraph"/>
        <w:numPr>
          <w:ilvl w:val="0"/>
          <w:numId w:val="21"/>
        </w:numPr>
        <w:shd w:val="clear" w:color="auto" w:fill="FFFFFF"/>
        <w:spacing w:after="0"/>
      </w:pPr>
      <w:r w:rsidRPr="00FA27B0">
        <w:t>For outdoor performances involving singing or brass or wind instruments, there must be at least 25 feet of distance between performers and the first row of the audience.</w:t>
      </w:r>
      <w:r w:rsidRPr="00FA27B0">
        <w:rPr>
          <w:rStyle w:val="EndnoteReference"/>
        </w:rPr>
        <w:t xml:space="preserve"> </w:t>
      </w:r>
      <w:r w:rsidRPr="00FA27B0">
        <w:rPr>
          <w:rStyle w:val="EndnoteReference"/>
        </w:rPr>
        <w:endnoteReference w:id="4"/>
      </w:r>
    </w:p>
    <w:p w14:paraId="2C297B1F" w14:textId="77777777" w:rsidR="0048503E" w:rsidRPr="00FA27B0" w:rsidRDefault="0048503E" w:rsidP="0048503E">
      <w:pPr>
        <w:pStyle w:val="ListParagraph"/>
        <w:numPr>
          <w:ilvl w:val="0"/>
          <w:numId w:val="21"/>
        </w:numPr>
        <w:shd w:val="clear" w:color="auto" w:fill="FFFFFF"/>
        <w:spacing w:after="0"/>
      </w:pPr>
      <w:r w:rsidRPr="00FA27B0">
        <w:t>Indoor performances, including theater, band, or orchestra, are not permitted at this time, but may be in the future in accordance with state guidelines.</w:t>
      </w:r>
      <w:r w:rsidRPr="00FA27B0">
        <w:rPr>
          <w:rStyle w:val="EndnoteReference"/>
        </w:rPr>
        <w:endnoteReference w:id="5"/>
      </w:r>
    </w:p>
    <w:p w14:paraId="0E77211F" w14:textId="77777777" w:rsidR="00B00A5F" w:rsidRDefault="0048503E" w:rsidP="0048503E">
      <w:pPr>
        <w:pStyle w:val="ListParagraph"/>
        <w:numPr>
          <w:ilvl w:val="0"/>
          <w:numId w:val="21"/>
        </w:numPr>
      </w:pPr>
      <w:r w:rsidRPr="00FA27B0">
        <w:t xml:space="preserve">Attendees should be informed in the weeks leading up to </w:t>
      </w:r>
      <w:r w:rsidR="000D092D" w:rsidRPr="003241B0">
        <w:t>and including the day of</w:t>
      </w:r>
      <w:r w:rsidR="000D092D">
        <w:t xml:space="preserve"> </w:t>
      </w:r>
      <w:r w:rsidRPr="00FA27B0">
        <w:t>the event, and at the entrance to the event, that they must not attend if they are feeling unwell or showing any symptoms of COVID-19.</w:t>
      </w:r>
      <w:r w:rsidR="00B00A5F">
        <w:t xml:space="preserve"> </w:t>
      </w:r>
    </w:p>
    <w:p w14:paraId="4E6514A0" w14:textId="3FA3EAE5" w:rsidR="0048503E" w:rsidRPr="00FA27B0" w:rsidRDefault="0048503E" w:rsidP="0048503E">
      <w:pPr>
        <w:pStyle w:val="ListParagraph"/>
        <w:numPr>
          <w:ilvl w:val="0"/>
          <w:numId w:val="21"/>
        </w:numPr>
      </w:pPr>
      <w:r w:rsidRPr="00FA27B0">
        <w:t xml:space="preserve">Consider scheduling multiple events, if needed, to allow for physical distancing. </w:t>
      </w:r>
    </w:p>
    <w:p w14:paraId="16D51917" w14:textId="44DA60A0" w:rsidR="0048503E" w:rsidRPr="00FA27B0" w:rsidRDefault="0048503E" w:rsidP="0048503E">
      <w:pPr>
        <w:pStyle w:val="ListParagraph"/>
        <w:numPr>
          <w:ilvl w:val="0"/>
          <w:numId w:val="21"/>
        </w:numPr>
        <w:rPr>
          <w:rStyle w:val="EndnoteReference"/>
          <w:vertAlign w:val="baseline"/>
        </w:rPr>
      </w:pPr>
      <w:r w:rsidRPr="00FA27B0">
        <w:t>If the event is ticketed, tickets should be sold online in advance, if possible. Consider touchless payment for in-person ticket sales</w:t>
      </w:r>
      <w:r w:rsidR="00B11952">
        <w:t>,</w:t>
      </w:r>
      <w:r w:rsidR="00E11DBE">
        <w:t xml:space="preserve"> </w:t>
      </w:r>
      <w:r w:rsidRPr="00FA27B0">
        <w:t>and use handwashing before and after transactions.</w:t>
      </w:r>
      <w:r w:rsidRPr="00FA27B0">
        <w:rPr>
          <w:rStyle w:val="EndnoteReference"/>
        </w:rPr>
        <w:t xml:space="preserve"> </w:t>
      </w:r>
      <w:r w:rsidRPr="00FA27B0">
        <w:rPr>
          <w:rStyle w:val="EndnoteReference"/>
        </w:rPr>
        <w:endnoteReference w:id="6"/>
      </w:r>
    </w:p>
    <w:p w14:paraId="08304E77" w14:textId="5B523A3E" w:rsidR="0048503E" w:rsidRPr="00FA27B0" w:rsidRDefault="0048503E" w:rsidP="0048503E">
      <w:pPr>
        <w:pStyle w:val="ListParagraph"/>
        <w:numPr>
          <w:ilvl w:val="0"/>
          <w:numId w:val="21"/>
        </w:numPr>
      </w:pPr>
      <w:r w:rsidRPr="00FA27B0">
        <w:t>Establish directional pathways to manage visitor flow for foot traffic</w:t>
      </w:r>
      <w:r w:rsidR="0020055D">
        <w:t xml:space="preserve"> in order</w:t>
      </w:r>
      <w:r w:rsidRPr="00FA27B0">
        <w:t xml:space="preserve"> to minimize contact (e.g., one-way entrance and exit to shows, one-way pathways). Post clearly visible signage regarding these policies.</w:t>
      </w:r>
      <w:r w:rsidRPr="00FA27B0">
        <w:rPr>
          <w:rStyle w:val="EndnoteReference"/>
        </w:rPr>
        <w:endnoteReference w:id="7"/>
      </w:r>
    </w:p>
    <w:p w14:paraId="403EED2B" w14:textId="77777777" w:rsidR="0048503E" w:rsidRPr="00FA27B0" w:rsidRDefault="0048503E" w:rsidP="0048503E">
      <w:pPr>
        <w:pStyle w:val="ListParagraph"/>
        <w:numPr>
          <w:ilvl w:val="0"/>
          <w:numId w:val="21"/>
        </w:numPr>
        <w:rPr>
          <w:rStyle w:val="EndnoteReference"/>
          <w:vertAlign w:val="baseline"/>
        </w:rPr>
      </w:pPr>
      <w:r w:rsidRPr="00FA27B0">
        <w:t>Encourage the use of electronic versions or no-touch displays in place of commonly touched physical materials (such as programs or playbills) where possible. All commonly touched physical materials must be discarded or sanitized between use.</w:t>
      </w:r>
      <w:r w:rsidRPr="00FA27B0">
        <w:rPr>
          <w:rStyle w:val="EndnoteReference"/>
        </w:rPr>
        <w:t xml:space="preserve"> </w:t>
      </w:r>
      <w:r w:rsidRPr="00FA27B0">
        <w:rPr>
          <w:rStyle w:val="EndnoteReference"/>
        </w:rPr>
        <w:endnoteReference w:id="8"/>
      </w:r>
    </w:p>
    <w:p w14:paraId="491D5E77" w14:textId="7C913EE7" w:rsidR="0048503E" w:rsidRPr="00FA27B0" w:rsidRDefault="0048503E" w:rsidP="0048503E">
      <w:pPr>
        <w:pStyle w:val="ListParagraph"/>
        <w:numPr>
          <w:ilvl w:val="0"/>
          <w:numId w:val="21"/>
        </w:numPr>
      </w:pPr>
      <w:r w:rsidRPr="00FA27B0">
        <w:t>Ensure access to handwashing facilities on site, including soap and running water, wherever possible</w:t>
      </w:r>
      <w:r w:rsidR="00AA4936">
        <w:t>,</w:t>
      </w:r>
      <w:r w:rsidRPr="00FA27B0">
        <w:t xml:space="preserve"> and encourage frequent handwashing; alcohol-based hand sanitizers with at least 60</w:t>
      </w:r>
      <w:r w:rsidR="00AA4936">
        <w:t xml:space="preserve"> percent</w:t>
      </w:r>
      <w:r w:rsidRPr="00FA27B0">
        <w:t xml:space="preserve"> alcohol may be used as an alternative.</w:t>
      </w:r>
      <w:r w:rsidRPr="00FA27B0">
        <w:rPr>
          <w:rStyle w:val="EndnoteReference"/>
        </w:rPr>
        <w:t xml:space="preserve"> </w:t>
      </w:r>
      <w:r w:rsidRPr="00FA27B0">
        <w:rPr>
          <w:rStyle w:val="EndnoteReference"/>
        </w:rPr>
        <w:endnoteReference w:id="9"/>
      </w:r>
      <w:r w:rsidR="0027048D">
        <w:br/>
      </w:r>
      <w:r w:rsidR="0027048D">
        <w:br/>
      </w:r>
      <w:r w:rsidR="0027048D">
        <w:br/>
      </w:r>
    </w:p>
    <w:p w14:paraId="06BDDEE4" w14:textId="77777777" w:rsidR="0048503E" w:rsidRPr="00FA27B0" w:rsidRDefault="0048503E" w:rsidP="0048503E">
      <w:pPr>
        <w:pStyle w:val="Heading2"/>
      </w:pPr>
      <w:r w:rsidRPr="00FA27B0">
        <w:lastRenderedPageBreak/>
        <w:t>Leaving school grounds</w:t>
      </w:r>
      <w:r w:rsidRPr="00FA27B0">
        <w:br/>
      </w:r>
    </w:p>
    <w:p w14:paraId="3D1C7445" w14:textId="79284A38" w:rsidR="0048503E" w:rsidRPr="00FA27B0" w:rsidRDefault="0048503E" w:rsidP="0048503E">
      <w:pPr>
        <w:rPr>
          <w:b/>
          <w:bCs/>
          <w:u w:val="single"/>
        </w:rPr>
      </w:pPr>
      <w:r w:rsidRPr="003233BA">
        <w:rPr>
          <w:b/>
          <w:bCs/>
          <w:u w:val="single"/>
        </w:rPr>
        <w:t xml:space="preserve">Whenever </w:t>
      </w:r>
      <w:r w:rsidR="000D092D" w:rsidRPr="003233BA">
        <w:rPr>
          <w:b/>
          <w:bCs/>
          <w:u w:val="single"/>
        </w:rPr>
        <w:t xml:space="preserve">feasible and to the maximum extent </w:t>
      </w:r>
      <w:r w:rsidRPr="003233BA">
        <w:rPr>
          <w:b/>
          <w:bCs/>
          <w:u w:val="single"/>
        </w:rPr>
        <w:t>possible, consider virtual alternatives to leaving school grounds.</w:t>
      </w:r>
      <w:r w:rsidRPr="00FA27B0">
        <w:t xml:space="preserve"> Generally, it is not recommended to hold organized school trips leaving school grounds.</w:t>
      </w:r>
      <w:r w:rsidRPr="00FA27B0">
        <w:rPr>
          <w:b/>
          <w:bCs/>
          <w:u w:val="single"/>
        </w:rPr>
        <w:t xml:space="preserve"> </w:t>
      </w:r>
    </w:p>
    <w:p w14:paraId="07A551B0" w14:textId="11915141" w:rsidR="0048503E" w:rsidRPr="00FA27B0" w:rsidRDefault="0048503E" w:rsidP="0048503E">
      <w:r w:rsidRPr="00FA27B0">
        <w:t>However, the risk level of leaving school grounds depends on the type of activity and transportation for the trip. All trips leaving school grounds must comply with all health and safety guidance</w:t>
      </w:r>
      <w:r w:rsidR="00766DF8">
        <w:t>,</w:t>
      </w:r>
      <w:r w:rsidRPr="00FA27B0">
        <w:t xml:space="preserve"> including physical distancing, mask wearing, hand washing</w:t>
      </w:r>
      <w:r w:rsidR="00E33212">
        <w:t>,</w:t>
      </w:r>
      <w:r w:rsidRPr="00FA27B0">
        <w:t xml:space="preserve"> and sanitation. </w:t>
      </w:r>
    </w:p>
    <w:p w14:paraId="6C3B7F83" w14:textId="77777777" w:rsidR="0048503E" w:rsidRPr="00FA27B0" w:rsidRDefault="0048503E" w:rsidP="0048503E">
      <w:pPr>
        <w:pStyle w:val="ListParagraph"/>
        <w:numPr>
          <w:ilvl w:val="0"/>
          <w:numId w:val="19"/>
        </w:numPr>
      </w:pPr>
      <w:r w:rsidRPr="00FA27B0">
        <w:t>If a school trip includes walking or a brief ride that abides by transportation guidelines, takes place where significant interaction with the public is not expected, and abides by the health and safety guidelines, it is permitted. For example, students may walk to a nearby park to observe plant and animal life during science class.</w:t>
      </w:r>
    </w:p>
    <w:p w14:paraId="4197B5BB" w14:textId="77777777" w:rsidR="0048503E" w:rsidRPr="00FA27B0" w:rsidRDefault="0048503E" w:rsidP="0048503E">
      <w:pPr>
        <w:pStyle w:val="ListParagraph"/>
        <w:numPr>
          <w:ilvl w:val="0"/>
          <w:numId w:val="19"/>
        </w:numPr>
      </w:pPr>
      <w:r w:rsidRPr="00FA27B0">
        <w:t xml:space="preserve">If a school trip includes a long bus ride (more than three hours one way), results in close interaction with additional people (e.g., within 6 feet of outside chaperones or the public), or cannot abide by the health and safety guidelines, it is not permitted. </w:t>
      </w:r>
    </w:p>
    <w:p w14:paraId="7423AB8F" w14:textId="77777777" w:rsidR="0048503E" w:rsidRPr="00FA27B0" w:rsidRDefault="0048503E" w:rsidP="0048503E">
      <w:pPr>
        <w:pStyle w:val="ListParagraph"/>
        <w:numPr>
          <w:ilvl w:val="0"/>
          <w:numId w:val="19"/>
        </w:numPr>
      </w:pPr>
      <w:r w:rsidRPr="00FA27B0">
        <w:t xml:space="preserve">Field trips can pose an additional risk due to the need to travel offsite and the need for additional chaperones. </w:t>
      </w:r>
      <w:r w:rsidRPr="00FA27B0">
        <w:rPr>
          <w:b/>
          <w:bCs/>
          <w:u w:val="single"/>
        </w:rPr>
        <w:t>Ideally, all field trips should be held virtually.</w:t>
      </w:r>
    </w:p>
    <w:p w14:paraId="17798AFB" w14:textId="77777777" w:rsidR="0048503E" w:rsidRPr="00FA27B0" w:rsidRDefault="0048503E" w:rsidP="0048503E">
      <w:pPr>
        <w:pStyle w:val="ListParagraph"/>
        <w:numPr>
          <w:ilvl w:val="0"/>
          <w:numId w:val="19"/>
        </w:numPr>
      </w:pPr>
      <w:r w:rsidRPr="00FA27B0">
        <w:t xml:space="preserve">Out of state travel is not recommended. If an out of state trip occurs, it must abide by the state </w:t>
      </w:r>
      <w:hyperlink r:id="rId16" w:anchor=":~:text=Effective%20August%201%2C%202020%2C%20all,levels%20as%20low%20as%20possible." w:history="1">
        <w:r w:rsidRPr="00FA27B0">
          <w:rPr>
            <w:rStyle w:val="Hyperlink"/>
          </w:rPr>
          <w:t>COVID-19 travel order</w:t>
        </w:r>
      </w:hyperlink>
      <w:r w:rsidRPr="00FA27B0">
        <w:t xml:space="preserve">. </w:t>
      </w:r>
    </w:p>
    <w:p w14:paraId="2CD586BE" w14:textId="77777777" w:rsidR="0048503E" w:rsidRPr="00AE763F" w:rsidRDefault="0048503E" w:rsidP="0048503E">
      <w:r w:rsidRPr="00FA27B0">
        <w:t>Consider how to adjust open campus policies (i.e., when older students are permitted to leave school campus during the school day) to better support health and safety guidelines, such as ensuring students follow health and safety guidelines upon entering or re-entering school.</w:t>
      </w:r>
      <w:r w:rsidRPr="00AE763F">
        <w:t xml:space="preserve"> </w:t>
      </w:r>
    </w:p>
    <w:p w14:paraId="2D256D9D" w14:textId="662E7E34" w:rsidR="00B85D43" w:rsidRPr="00855F96" w:rsidRDefault="00855F96" w:rsidP="0048503E">
      <w:pPr>
        <w:spacing w:after="0"/>
      </w:pPr>
      <w:r>
        <w:br/>
      </w:r>
    </w:p>
    <w:sectPr w:rsidR="00B85D43" w:rsidRPr="00855F96">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79B28" w14:textId="77777777" w:rsidR="00DD68FB" w:rsidRDefault="00DD68FB">
      <w:pPr>
        <w:spacing w:after="0" w:line="240" w:lineRule="auto"/>
      </w:pPr>
      <w:r>
        <w:separator/>
      </w:r>
    </w:p>
  </w:endnote>
  <w:endnote w:type="continuationSeparator" w:id="0">
    <w:p w14:paraId="0C1D986E" w14:textId="77777777" w:rsidR="00DD68FB" w:rsidRDefault="00DD68FB">
      <w:pPr>
        <w:spacing w:after="0" w:line="240" w:lineRule="auto"/>
      </w:pPr>
      <w:r>
        <w:continuationSeparator/>
      </w:r>
    </w:p>
  </w:endnote>
  <w:endnote w:type="continuationNotice" w:id="1">
    <w:p w14:paraId="0ED27D9A" w14:textId="77777777" w:rsidR="00DD68FB" w:rsidRDefault="00DD68FB">
      <w:pPr>
        <w:spacing w:after="0" w:line="240" w:lineRule="auto"/>
      </w:pPr>
    </w:p>
  </w:endnote>
  <w:endnote w:id="2">
    <w:p w14:paraId="2F41FE62" w14:textId="07EAC7A7" w:rsidR="00AE763F" w:rsidRPr="0027048D" w:rsidRDefault="00AE763F" w:rsidP="0027048D">
      <w:pPr>
        <w:spacing w:after="0" w:line="240" w:lineRule="auto"/>
        <w:rPr>
          <w:sz w:val="20"/>
          <w:szCs w:val="20"/>
        </w:rPr>
      </w:pPr>
      <w:r w:rsidRPr="0027048D">
        <w:rPr>
          <w:rStyle w:val="EndnoteReference"/>
          <w:sz w:val="20"/>
          <w:szCs w:val="20"/>
        </w:rPr>
        <w:endnoteRef/>
      </w:r>
      <w:r w:rsidR="007B5DBE">
        <w:rPr>
          <w:sz w:val="20"/>
          <w:szCs w:val="20"/>
        </w:rPr>
        <w:t xml:space="preserve">For instance, </w:t>
      </w:r>
      <w:r w:rsidR="003D6CF0">
        <w:rPr>
          <w:sz w:val="20"/>
          <w:szCs w:val="20"/>
        </w:rPr>
        <w:t>s</w:t>
      </w:r>
      <w:r w:rsidRPr="0027048D">
        <w:rPr>
          <w:sz w:val="20"/>
          <w:szCs w:val="20"/>
        </w:rPr>
        <w:t xml:space="preserve">peech and debate virtual learning resources: </w:t>
      </w:r>
      <w:hyperlink r:id="rId1" w:history="1">
        <w:r w:rsidRPr="0027048D">
          <w:rPr>
            <w:rStyle w:val="Hyperlink"/>
            <w:sz w:val="20"/>
            <w:szCs w:val="20"/>
          </w:rPr>
          <w:t>https://www.speechanddebate.org/virtual-learning-resources/</w:t>
        </w:r>
      </w:hyperlink>
    </w:p>
  </w:endnote>
  <w:endnote w:id="3">
    <w:p w14:paraId="169EEC69" w14:textId="77777777" w:rsidR="0048503E" w:rsidRPr="0027048D" w:rsidRDefault="0048503E" w:rsidP="0027048D">
      <w:pPr>
        <w:pStyle w:val="EndnoteText"/>
      </w:pPr>
      <w:r w:rsidRPr="0027048D">
        <w:rPr>
          <w:rStyle w:val="EndnoteReference"/>
        </w:rPr>
        <w:endnoteRef/>
      </w:r>
      <w:r w:rsidRPr="0027048D">
        <w:t xml:space="preserve"> Physical distancing requirements for activities with additional safety considerations may be found </w:t>
      </w:r>
      <w:hyperlink r:id="rId2" w:history="1">
        <w:r w:rsidRPr="0027048D">
          <w:rPr>
            <w:rStyle w:val="Hyperlink"/>
          </w:rPr>
          <w:t xml:space="preserve">in the DESE Guidance for Courses Requiring Additional Safety Considerations for Fall 2020 </w:t>
        </w:r>
        <w:r w:rsidRPr="0027048D">
          <w:rPr>
            <w:rStyle w:val="Hyperlink"/>
            <w:i/>
            <w:iCs/>
          </w:rPr>
          <w:t>(download)</w:t>
        </w:r>
        <w:r w:rsidRPr="0027048D">
          <w:rPr>
            <w:rStyle w:val="Hyperlink"/>
          </w:rPr>
          <w:t>.</w:t>
        </w:r>
      </w:hyperlink>
    </w:p>
  </w:endnote>
  <w:endnote w:id="4">
    <w:p w14:paraId="69E03343" w14:textId="4D317386" w:rsidR="0048503E" w:rsidRPr="0027048D" w:rsidRDefault="0048503E" w:rsidP="0027048D">
      <w:pPr>
        <w:pStyle w:val="EndnoteText"/>
      </w:pPr>
      <w:r w:rsidRPr="0027048D">
        <w:rPr>
          <w:rStyle w:val="EndnoteReference"/>
        </w:rPr>
        <w:endnoteRef/>
      </w:r>
      <w:r w:rsidRPr="0027048D">
        <w:t xml:space="preserve">Commonwealth of Massachusetts, </w:t>
      </w:r>
      <w:hyperlink r:id="rId3" w:history="1">
        <w:r w:rsidRPr="0027048D">
          <w:rPr>
            <w:rStyle w:val="Hyperlink"/>
          </w:rPr>
          <w:t>Sector Specific Workplace Safety Standards for Theaters and Performance Venues to Address COVID-19</w:t>
        </w:r>
      </w:hyperlink>
      <w:r w:rsidRPr="0027048D">
        <w:t xml:space="preserve">. (2020, </w:t>
      </w:r>
      <w:r w:rsidR="00797064">
        <w:t>August</w:t>
      </w:r>
      <w:r w:rsidRPr="0027048D">
        <w:t>).</w:t>
      </w:r>
    </w:p>
  </w:endnote>
  <w:endnote w:id="5">
    <w:p w14:paraId="591B773E" w14:textId="73151025" w:rsidR="0048503E" w:rsidRPr="0027048D" w:rsidRDefault="0048503E" w:rsidP="0027048D">
      <w:pPr>
        <w:pStyle w:val="EndnoteText"/>
      </w:pPr>
      <w:r w:rsidRPr="0027048D">
        <w:rPr>
          <w:rStyle w:val="EndnoteReference"/>
        </w:rPr>
        <w:endnoteRef/>
      </w:r>
      <w:r w:rsidRPr="0027048D">
        <w:t>Commonwealth of Massachusetts</w:t>
      </w:r>
      <w:hyperlink r:id="rId4" w:history="1">
        <w:r w:rsidRPr="00C46DDC">
          <w:rPr>
            <w:rStyle w:val="Hyperlink"/>
          </w:rPr>
          <w:t>, Sector Specific Workplace Safety Standards for Theaters and Performance Venues to Address COVID-19</w:t>
        </w:r>
      </w:hyperlink>
      <w:r w:rsidRPr="0027048D">
        <w:t xml:space="preserve">. (2020, </w:t>
      </w:r>
      <w:r w:rsidR="00C46DDC">
        <w:t>August</w:t>
      </w:r>
      <w:r w:rsidRPr="0027048D">
        <w:t xml:space="preserve">). </w:t>
      </w:r>
    </w:p>
  </w:endnote>
  <w:endnote w:id="6">
    <w:p w14:paraId="0DBA6091" w14:textId="432BF2EF" w:rsidR="0048503E" w:rsidRPr="0027048D" w:rsidRDefault="0048503E" w:rsidP="0027048D">
      <w:pPr>
        <w:pStyle w:val="EndnoteText"/>
      </w:pPr>
      <w:r w:rsidRPr="0027048D">
        <w:rPr>
          <w:rStyle w:val="EndnoteReference"/>
        </w:rPr>
        <w:endnoteRef/>
      </w:r>
      <w:r w:rsidRPr="0027048D">
        <w:t xml:space="preserve">Commonwealth of Massachusetts, </w:t>
      </w:r>
      <w:hyperlink r:id="rId5" w:history="1">
        <w:r w:rsidRPr="0027048D">
          <w:rPr>
            <w:rStyle w:val="Hyperlink"/>
          </w:rPr>
          <w:t>Sector Specific Workplace Safety Standards for Theaters and Performance Venues to Address COVID-19</w:t>
        </w:r>
      </w:hyperlink>
      <w:r w:rsidRPr="0027048D">
        <w:t xml:space="preserve">. (2020, </w:t>
      </w:r>
      <w:r w:rsidR="00DA6421">
        <w:t>August</w:t>
      </w:r>
      <w:r w:rsidRPr="0027048D">
        <w:t>).</w:t>
      </w:r>
    </w:p>
  </w:endnote>
  <w:endnote w:id="7">
    <w:p w14:paraId="42174263" w14:textId="22F365B3" w:rsidR="0048503E" w:rsidRPr="0027048D" w:rsidRDefault="0048503E" w:rsidP="0027048D">
      <w:pPr>
        <w:pStyle w:val="EndnoteText"/>
      </w:pPr>
      <w:r w:rsidRPr="0027048D">
        <w:rPr>
          <w:rStyle w:val="EndnoteReference"/>
        </w:rPr>
        <w:endnoteRef/>
      </w:r>
      <w:r w:rsidRPr="0027048D">
        <w:t xml:space="preserve">Commonwealth of Massachusetts, </w:t>
      </w:r>
      <w:hyperlink r:id="rId6" w:history="1">
        <w:r w:rsidRPr="0027048D">
          <w:rPr>
            <w:rStyle w:val="Hyperlink"/>
          </w:rPr>
          <w:t>Sector Specific Workplace Safety Standards for Theaters and Performance Venues to Address COVID-19</w:t>
        </w:r>
      </w:hyperlink>
      <w:r w:rsidRPr="0027048D">
        <w:t xml:space="preserve">. (2020, </w:t>
      </w:r>
      <w:r w:rsidR="00176A8B">
        <w:t>August</w:t>
      </w:r>
      <w:r w:rsidRPr="0027048D">
        <w:t>).</w:t>
      </w:r>
    </w:p>
  </w:endnote>
  <w:endnote w:id="8">
    <w:p w14:paraId="115AB426" w14:textId="090B7A73" w:rsidR="0048503E" w:rsidRPr="0027048D" w:rsidRDefault="0048503E" w:rsidP="0027048D">
      <w:pPr>
        <w:pStyle w:val="EndnoteText"/>
      </w:pPr>
      <w:r w:rsidRPr="0027048D">
        <w:rPr>
          <w:rStyle w:val="EndnoteReference"/>
        </w:rPr>
        <w:endnoteRef/>
      </w:r>
      <w:r w:rsidRPr="0027048D">
        <w:t xml:space="preserve">Commonwealth of Massachusetts, </w:t>
      </w:r>
      <w:hyperlink r:id="rId7" w:history="1">
        <w:r w:rsidRPr="0027048D">
          <w:rPr>
            <w:rStyle w:val="Hyperlink"/>
          </w:rPr>
          <w:t>Sector Specific Workplace Safety Standards for Theaters and Performance Venues to Address COVID-19</w:t>
        </w:r>
      </w:hyperlink>
      <w:r w:rsidRPr="0027048D">
        <w:t>. (2020,</w:t>
      </w:r>
      <w:r w:rsidR="00E13ECD">
        <w:t xml:space="preserve"> August</w:t>
      </w:r>
      <w:r w:rsidRPr="0027048D">
        <w:t>).</w:t>
      </w:r>
    </w:p>
  </w:endnote>
  <w:endnote w:id="9">
    <w:p w14:paraId="5FBDC3A9" w14:textId="3E0A11B4" w:rsidR="0048503E" w:rsidRPr="0027048D" w:rsidRDefault="0048503E" w:rsidP="0027048D">
      <w:pPr>
        <w:pStyle w:val="EndnoteText"/>
      </w:pPr>
      <w:r w:rsidRPr="0027048D">
        <w:rPr>
          <w:rStyle w:val="EndnoteReference"/>
        </w:rPr>
        <w:endnoteRef/>
      </w:r>
      <w:r w:rsidRPr="0027048D">
        <w:t xml:space="preserve">Commonwealth of Massachusetts, </w:t>
      </w:r>
      <w:hyperlink r:id="rId8" w:history="1">
        <w:r w:rsidRPr="0027048D">
          <w:rPr>
            <w:rStyle w:val="Hyperlink"/>
          </w:rPr>
          <w:t>Sector Specific Workplace Safety Standards for Theaters and Performance Venues to Address COVID-19</w:t>
        </w:r>
      </w:hyperlink>
      <w:r w:rsidRPr="0027048D">
        <w:t xml:space="preserve">. (2020, </w:t>
      </w:r>
      <w:r w:rsidR="005B33C4">
        <w:t>August</w:t>
      </w:r>
      <w:r w:rsidRPr="0027048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E27D" w14:textId="77777777" w:rsidR="00B2084F" w:rsidRDefault="00B20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6F144B59" w:rsidR="0018247D" w:rsidRDefault="0018247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86" w14:textId="27DDBF30" w:rsidR="0018247D" w:rsidRDefault="0018247D" w:rsidP="00592731">
    <w:pPr>
      <w:jc w:val="center"/>
      <w:rPr>
        <w:rFonts w:ascii="Calibri" w:eastAsia="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7" w14:textId="77777777" w:rsidR="0018247D" w:rsidRDefault="0018247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088" w14:textId="77777777" w:rsidR="0018247D" w:rsidRDefault="001824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344C8" w14:textId="77777777" w:rsidR="00DD68FB" w:rsidRDefault="00DD68FB">
      <w:pPr>
        <w:spacing w:after="0" w:line="240" w:lineRule="auto"/>
      </w:pPr>
      <w:r>
        <w:separator/>
      </w:r>
    </w:p>
  </w:footnote>
  <w:footnote w:type="continuationSeparator" w:id="0">
    <w:p w14:paraId="02950A66" w14:textId="77777777" w:rsidR="00DD68FB" w:rsidRDefault="00DD68FB">
      <w:pPr>
        <w:spacing w:after="0" w:line="240" w:lineRule="auto"/>
      </w:pPr>
      <w:r>
        <w:continuationSeparator/>
      </w:r>
    </w:p>
  </w:footnote>
  <w:footnote w:type="continuationNotice" w:id="1">
    <w:p w14:paraId="21E98FC5" w14:textId="77777777" w:rsidR="00DD68FB" w:rsidRDefault="00DD68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7EEE" w14:textId="77777777" w:rsidR="00B2084F" w:rsidRDefault="00B20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9A4F" w14:textId="22C6162D" w:rsidR="0018247D" w:rsidRPr="00E95B3E" w:rsidRDefault="0018247D">
    <w:pPr>
      <w:jc w:val="center"/>
      <w:rPr>
        <w:rFonts w:asciiTheme="majorHAnsi" w:hAnsiTheme="majorHAnsi" w:cstheme="majorHAnsi"/>
        <w:bCs/>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A1AF" w14:textId="77777777" w:rsidR="00B2084F" w:rsidRDefault="00B20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0EC4"/>
    <w:multiLevelType w:val="multilevel"/>
    <w:tmpl w:val="534AD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843F1"/>
    <w:multiLevelType w:val="hybridMultilevel"/>
    <w:tmpl w:val="862E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29F8"/>
    <w:multiLevelType w:val="hybridMultilevel"/>
    <w:tmpl w:val="F2B2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75DAA"/>
    <w:multiLevelType w:val="hybridMultilevel"/>
    <w:tmpl w:val="28BE4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019B7"/>
    <w:multiLevelType w:val="multilevel"/>
    <w:tmpl w:val="93188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2E509C"/>
    <w:multiLevelType w:val="hybridMultilevel"/>
    <w:tmpl w:val="F464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46334"/>
    <w:multiLevelType w:val="hybridMultilevel"/>
    <w:tmpl w:val="3042C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27CBF"/>
    <w:multiLevelType w:val="hybridMultilevel"/>
    <w:tmpl w:val="DA80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A630E"/>
    <w:multiLevelType w:val="hybridMultilevel"/>
    <w:tmpl w:val="9CC2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8359E"/>
    <w:multiLevelType w:val="hybridMultilevel"/>
    <w:tmpl w:val="3D72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F5A3C"/>
    <w:multiLevelType w:val="hybridMultilevel"/>
    <w:tmpl w:val="F0F0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F0411"/>
    <w:multiLevelType w:val="hybridMultilevel"/>
    <w:tmpl w:val="51D6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703E9"/>
    <w:multiLevelType w:val="hybridMultilevel"/>
    <w:tmpl w:val="52DE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B7485"/>
    <w:multiLevelType w:val="hybridMultilevel"/>
    <w:tmpl w:val="BE24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F1750"/>
    <w:multiLevelType w:val="multilevel"/>
    <w:tmpl w:val="01241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AD4429"/>
    <w:multiLevelType w:val="multilevel"/>
    <w:tmpl w:val="233C0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C242AE"/>
    <w:multiLevelType w:val="multilevel"/>
    <w:tmpl w:val="8ACC2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CD38AF"/>
    <w:multiLevelType w:val="multilevel"/>
    <w:tmpl w:val="961E83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38478C5"/>
    <w:multiLevelType w:val="hybridMultilevel"/>
    <w:tmpl w:val="B208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D693A"/>
    <w:multiLevelType w:val="hybridMultilevel"/>
    <w:tmpl w:val="44AE4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B69D0"/>
    <w:multiLevelType w:val="hybridMultilevel"/>
    <w:tmpl w:val="50BCB8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91658"/>
    <w:multiLevelType w:val="hybridMultilevel"/>
    <w:tmpl w:val="AFEA3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312AD"/>
    <w:multiLevelType w:val="hybridMultilevel"/>
    <w:tmpl w:val="6598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C97914"/>
    <w:multiLevelType w:val="multilevel"/>
    <w:tmpl w:val="A7389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DB0768"/>
    <w:multiLevelType w:val="hybridMultilevel"/>
    <w:tmpl w:val="8E3C1F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4"/>
  </w:num>
  <w:num w:numId="3">
    <w:abstractNumId w:val="0"/>
  </w:num>
  <w:num w:numId="4">
    <w:abstractNumId w:val="23"/>
  </w:num>
  <w:num w:numId="5">
    <w:abstractNumId w:val="15"/>
  </w:num>
  <w:num w:numId="6">
    <w:abstractNumId w:val="17"/>
  </w:num>
  <w:num w:numId="7">
    <w:abstractNumId w:val="5"/>
  </w:num>
  <w:num w:numId="8">
    <w:abstractNumId w:val="20"/>
  </w:num>
  <w:num w:numId="9">
    <w:abstractNumId w:val="22"/>
  </w:num>
  <w:num w:numId="10">
    <w:abstractNumId w:val="18"/>
  </w:num>
  <w:num w:numId="11">
    <w:abstractNumId w:val="10"/>
  </w:num>
  <w:num w:numId="12">
    <w:abstractNumId w:val="13"/>
  </w:num>
  <w:num w:numId="13">
    <w:abstractNumId w:val="8"/>
  </w:num>
  <w:num w:numId="14">
    <w:abstractNumId w:val="16"/>
  </w:num>
  <w:num w:numId="15">
    <w:abstractNumId w:val="3"/>
  </w:num>
  <w:num w:numId="16">
    <w:abstractNumId w:val="11"/>
  </w:num>
  <w:num w:numId="17">
    <w:abstractNumId w:val="24"/>
  </w:num>
  <w:num w:numId="18">
    <w:abstractNumId w:val="6"/>
  </w:num>
  <w:num w:numId="19">
    <w:abstractNumId w:val="12"/>
  </w:num>
  <w:num w:numId="20">
    <w:abstractNumId w:val="2"/>
  </w:num>
  <w:num w:numId="21">
    <w:abstractNumId w:val="21"/>
  </w:num>
  <w:num w:numId="22">
    <w:abstractNumId w:val="9"/>
  </w:num>
  <w:num w:numId="23">
    <w:abstractNumId w:val="19"/>
  </w:num>
  <w:num w:numId="24">
    <w:abstractNumId w:val="1"/>
  </w:num>
  <w:num w:numId="2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6F"/>
    <w:rsid w:val="00000978"/>
    <w:rsid w:val="00002EAE"/>
    <w:rsid w:val="00012D7F"/>
    <w:rsid w:val="00013D08"/>
    <w:rsid w:val="00021C03"/>
    <w:rsid w:val="00023BC5"/>
    <w:rsid w:val="00030BD2"/>
    <w:rsid w:val="000345B9"/>
    <w:rsid w:val="000346B8"/>
    <w:rsid w:val="0003511E"/>
    <w:rsid w:val="00043561"/>
    <w:rsid w:val="0004552E"/>
    <w:rsid w:val="0004563D"/>
    <w:rsid w:val="00045759"/>
    <w:rsid w:val="0004718D"/>
    <w:rsid w:val="000524E3"/>
    <w:rsid w:val="00055778"/>
    <w:rsid w:val="000564BF"/>
    <w:rsid w:val="00060F8B"/>
    <w:rsid w:val="00062278"/>
    <w:rsid w:val="00063503"/>
    <w:rsid w:val="00070D4D"/>
    <w:rsid w:val="00073429"/>
    <w:rsid w:val="00073B97"/>
    <w:rsid w:val="00085C1C"/>
    <w:rsid w:val="00085D14"/>
    <w:rsid w:val="00087B78"/>
    <w:rsid w:val="0009028C"/>
    <w:rsid w:val="000932D3"/>
    <w:rsid w:val="00093DE6"/>
    <w:rsid w:val="00097C86"/>
    <w:rsid w:val="000A168C"/>
    <w:rsid w:val="000A1B15"/>
    <w:rsid w:val="000B220B"/>
    <w:rsid w:val="000B255B"/>
    <w:rsid w:val="000B57A8"/>
    <w:rsid w:val="000B5D26"/>
    <w:rsid w:val="000C19C2"/>
    <w:rsid w:val="000C2513"/>
    <w:rsid w:val="000C43AC"/>
    <w:rsid w:val="000C692C"/>
    <w:rsid w:val="000C7B1C"/>
    <w:rsid w:val="000D0721"/>
    <w:rsid w:val="000D092D"/>
    <w:rsid w:val="000D5E1D"/>
    <w:rsid w:val="000D78D7"/>
    <w:rsid w:val="000E3269"/>
    <w:rsid w:val="000E4DDA"/>
    <w:rsid w:val="000E5034"/>
    <w:rsid w:val="000E573E"/>
    <w:rsid w:val="000F3D05"/>
    <w:rsid w:val="000F41A1"/>
    <w:rsid w:val="000F4656"/>
    <w:rsid w:val="001028D4"/>
    <w:rsid w:val="0010762F"/>
    <w:rsid w:val="00110B7E"/>
    <w:rsid w:val="00111848"/>
    <w:rsid w:val="001139B3"/>
    <w:rsid w:val="00114C0C"/>
    <w:rsid w:val="00125C77"/>
    <w:rsid w:val="0013001A"/>
    <w:rsid w:val="00130D86"/>
    <w:rsid w:val="00134808"/>
    <w:rsid w:val="001406CB"/>
    <w:rsid w:val="00141C46"/>
    <w:rsid w:val="0014378D"/>
    <w:rsid w:val="00146702"/>
    <w:rsid w:val="001469F8"/>
    <w:rsid w:val="0014757A"/>
    <w:rsid w:val="00150828"/>
    <w:rsid w:val="001538FF"/>
    <w:rsid w:val="00156FE8"/>
    <w:rsid w:val="00157A3F"/>
    <w:rsid w:val="00157CFD"/>
    <w:rsid w:val="0016252C"/>
    <w:rsid w:val="00162AC5"/>
    <w:rsid w:val="001634C9"/>
    <w:rsid w:val="00165ADF"/>
    <w:rsid w:val="00166181"/>
    <w:rsid w:val="00175989"/>
    <w:rsid w:val="00176A8B"/>
    <w:rsid w:val="00176B12"/>
    <w:rsid w:val="0017759D"/>
    <w:rsid w:val="00180663"/>
    <w:rsid w:val="001814B9"/>
    <w:rsid w:val="0018247D"/>
    <w:rsid w:val="00186837"/>
    <w:rsid w:val="00186D10"/>
    <w:rsid w:val="00190A3F"/>
    <w:rsid w:val="00194D8F"/>
    <w:rsid w:val="001951A8"/>
    <w:rsid w:val="001968CE"/>
    <w:rsid w:val="001A017B"/>
    <w:rsid w:val="001A2D4E"/>
    <w:rsid w:val="001A3A4E"/>
    <w:rsid w:val="001A4275"/>
    <w:rsid w:val="001B2AA0"/>
    <w:rsid w:val="001B483D"/>
    <w:rsid w:val="001C5BD4"/>
    <w:rsid w:val="001C6888"/>
    <w:rsid w:val="001D0F5E"/>
    <w:rsid w:val="001D1361"/>
    <w:rsid w:val="001D7A62"/>
    <w:rsid w:val="001E2973"/>
    <w:rsid w:val="001E43C3"/>
    <w:rsid w:val="001F0486"/>
    <w:rsid w:val="001F4DBC"/>
    <w:rsid w:val="0020049C"/>
    <w:rsid w:val="0020055D"/>
    <w:rsid w:val="002076B8"/>
    <w:rsid w:val="00210AEA"/>
    <w:rsid w:val="0021464F"/>
    <w:rsid w:val="00215C06"/>
    <w:rsid w:val="00220690"/>
    <w:rsid w:val="00220B59"/>
    <w:rsid w:val="00221D59"/>
    <w:rsid w:val="00224939"/>
    <w:rsid w:val="002263EC"/>
    <w:rsid w:val="002313C8"/>
    <w:rsid w:val="00233DAA"/>
    <w:rsid w:val="00235DF3"/>
    <w:rsid w:val="002367FE"/>
    <w:rsid w:val="0025059B"/>
    <w:rsid w:val="00251A3F"/>
    <w:rsid w:val="00263E7D"/>
    <w:rsid w:val="00264A1F"/>
    <w:rsid w:val="0026626C"/>
    <w:rsid w:val="0027048D"/>
    <w:rsid w:val="0027121C"/>
    <w:rsid w:val="0027214E"/>
    <w:rsid w:val="002723F0"/>
    <w:rsid w:val="002824C5"/>
    <w:rsid w:val="00282F80"/>
    <w:rsid w:val="002834B3"/>
    <w:rsid w:val="002834FF"/>
    <w:rsid w:val="00283FFD"/>
    <w:rsid w:val="00287780"/>
    <w:rsid w:val="002A150E"/>
    <w:rsid w:val="002A2E02"/>
    <w:rsid w:val="002A37E5"/>
    <w:rsid w:val="002A441C"/>
    <w:rsid w:val="002B2B32"/>
    <w:rsid w:val="002B4AFA"/>
    <w:rsid w:val="002C097A"/>
    <w:rsid w:val="002D0A4A"/>
    <w:rsid w:val="002D70CB"/>
    <w:rsid w:val="002E354A"/>
    <w:rsid w:val="002F058A"/>
    <w:rsid w:val="002F0E20"/>
    <w:rsid w:val="002F2532"/>
    <w:rsid w:val="002F2A64"/>
    <w:rsid w:val="002F2F34"/>
    <w:rsid w:val="002F675F"/>
    <w:rsid w:val="0030028B"/>
    <w:rsid w:val="00300EF4"/>
    <w:rsid w:val="00302C1D"/>
    <w:rsid w:val="003127ED"/>
    <w:rsid w:val="00314256"/>
    <w:rsid w:val="00315100"/>
    <w:rsid w:val="00315195"/>
    <w:rsid w:val="00315FBF"/>
    <w:rsid w:val="00317C13"/>
    <w:rsid w:val="0032207F"/>
    <w:rsid w:val="003233BA"/>
    <w:rsid w:val="003241B0"/>
    <w:rsid w:val="00325EAF"/>
    <w:rsid w:val="003277C5"/>
    <w:rsid w:val="00330810"/>
    <w:rsid w:val="003311EE"/>
    <w:rsid w:val="0033484F"/>
    <w:rsid w:val="0033714F"/>
    <w:rsid w:val="00340578"/>
    <w:rsid w:val="0034057B"/>
    <w:rsid w:val="003429DC"/>
    <w:rsid w:val="00350F2C"/>
    <w:rsid w:val="0035247C"/>
    <w:rsid w:val="00364C91"/>
    <w:rsid w:val="00365C0D"/>
    <w:rsid w:val="00374DA1"/>
    <w:rsid w:val="0038694F"/>
    <w:rsid w:val="00387584"/>
    <w:rsid w:val="00393B7E"/>
    <w:rsid w:val="00393F0A"/>
    <w:rsid w:val="0039695C"/>
    <w:rsid w:val="003A0275"/>
    <w:rsid w:val="003A0F04"/>
    <w:rsid w:val="003A31CA"/>
    <w:rsid w:val="003A641F"/>
    <w:rsid w:val="003B0D20"/>
    <w:rsid w:val="003B783B"/>
    <w:rsid w:val="003C3E86"/>
    <w:rsid w:val="003C4B96"/>
    <w:rsid w:val="003D3D88"/>
    <w:rsid w:val="003D6CF0"/>
    <w:rsid w:val="003E0E5E"/>
    <w:rsid w:val="003E24D9"/>
    <w:rsid w:val="003E5151"/>
    <w:rsid w:val="003E6AD2"/>
    <w:rsid w:val="003E6ECB"/>
    <w:rsid w:val="003F58B9"/>
    <w:rsid w:val="00404A0F"/>
    <w:rsid w:val="004063FE"/>
    <w:rsid w:val="00415D9A"/>
    <w:rsid w:val="00416379"/>
    <w:rsid w:val="0041796F"/>
    <w:rsid w:val="00426267"/>
    <w:rsid w:val="00431753"/>
    <w:rsid w:val="0043201D"/>
    <w:rsid w:val="004342AF"/>
    <w:rsid w:val="00434839"/>
    <w:rsid w:val="00434FB1"/>
    <w:rsid w:val="00435124"/>
    <w:rsid w:val="00440AD7"/>
    <w:rsid w:val="004466B1"/>
    <w:rsid w:val="004526B0"/>
    <w:rsid w:val="004558DF"/>
    <w:rsid w:val="0046091E"/>
    <w:rsid w:val="00461496"/>
    <w:rsid w:val="00465AB5"/>
    <w:rsid w:val="00466557"/>
    <w:rsid w:val="00466BEE"/>
    <w:rsid w:val="004677E4"/>
    <w:rsid w:val="0047257F"/>
    <w:rsid w:val="004737A1"/>
    <w:rsid w:val="00474425"/>
    <w:rsid w:val="004763D1"/>
    <w:rsid w:val="0048503E"/>
    <w:rsid w:val="00493BE9"/>
    <w:rsid w:val="00496501"/>
    <w:rsid w:val="004A1AC3"/>
    <w:rsid w:val="004B32B8"/>
    <w:rsid w:val="004C479C"/>
    <w:rsid w:val="004E4A33"/>
    <w:rsid w:val="004F1177"/>
    <w:rsid w:val="004F2910"/>
    <w:rsid w:val="004F2C1E"/>
    <w:rsid w:val="004F3A15"/>
    <w:rsid w:val="004F403D"/>
    <w:rsid w:val="00500C01"/>
    <w:rsid w:val="005067F8"/>
    <w:rsid w:val="00507E68"/>
    <w:rsid w:val="0051185F"/>
    <w:rsid w:val="00521C8F"/>
    <w:rsid w:val="0052519C"/>
    <w:rsid w:val="00534ACA"/>
    <w:rsid w:val="00534F67"/>
    <w:rsid w:val="005455B2"/>
    <w:rsid w:val="00545F64"/>
    <w:rsid w:val="005468C6"/>
    <w:rsid w:val="0055372D"/>
    <w:rsid w:val="00556B11"/>
    <w:rsid w:val="0056005A"/>
    <w:rsid w:val="00562B4D"/>
    <w:rsid w:val="00564339"/>
    <w:rsid w:val="00564730"/>
    <w:rsid w:val="00571D46"/>
    <w:rsid w:val="00573543"/>
    <w:rsid w:val="00573FDF"/>
    <w:rsid w:val="00584189"/>
    <w:rsid w:val="005850A8"/>
    <w:rsid w:val="005851CE"/>
    <w:rsid w:val="005853D2"/>
    <w:rsid w:val="00586226"/>
    <w:rsid w:val="005866AB"/>
    <w:rsid w:val="0059067D"/>
    <w:rsid w:val="005912EC"/>
    <w:rsid w:val="00591E1D"/>
    <w:rsid w:val="00592731"/>
    <w:rsid w:val="00597A4D"/>
    <w:rsid w:val="00597B77"/>
    <w:rsid w:val="005A4145"/>
    <w:rsid w:val="005B1D4D"/>
    <w:rsid w:val="005B2B60"/>
    <w:rsid w:val="005B33C4"/>
    <w:rsid w:val="005B3D5B"/>
    <w:rsid w:val="005C1832"/>
    <w:rsid w:val="005C188A"/>
    <w:rsid w:val="005C27A6"/>
    <w:rsid w:val="005C558F"/>
    <w:rsid w:val="005D08A4"/>
    <w:rsid w:val="005D1FF1"/>
    <w:rsid w:val="005E2B25"/>
    <w:rsid w:val="005E325C"/>
    <w:rsid w:val="005E38FC"/>
    <w:rsid w:val="005E792E"/>
    <w:rsid w:val="005F02F1"/>
    <w:rsid w:val="005F12E0"/>
    <w:rsid w:val="006012AC"/>
    <w:rsid w:val="0060239A"/>
    <w:rsid w:val="00607419"/>
    <w:rsid w:val="0061517D"/>
    <w:rsid w:val="00616159"/>
    <w:rsid w:val="006213C5"/>
    <w:rsid w:val="00625E8C"/>
    <w:rsid w:val="0063606F"/>
    <w:rsid w:val="0064157B"/>
    <w:rsid w:val="006433D8"/>
    <w:rsid w:val="00645282"/>
    <w:rsid w:val="0064586B"/>
    <w:rsid w:val="00646EF8"/>
    <w:rsid w:val="006518EB"/>
    <w:rsid w:val="00652765"/>
    <w:rsid w:val="0065452F"/>
    <w:rsid w:val="0066697F"/>
    <w:rsid w:val="00670BD7"/>
    <w:rsid w:val="00672B42"/>
    <w:rsid w:val="00673541"/>
    <w:rsid w:val="00680C96"/>
    <w:rsid w:val="006916CA"/>
    <w:rsid w:val="00693FA4"/>
    <w:rsid w:val="006954D8"/>
    <w:rsid w:val="0069680C"/>
    <w:rsid w:val="006A1363"/>
    <w:rsid w:val="006A30FD"/>
    <w:rsid w:val="006A3CA3"/>
    <w:rsid w:val="006B0F33"/>
    <w:rsid w:val="006B1941"/>
    <w:rsid w:val="006B4FE6"/>
    <w:rsid w:val="006B5A53"/>
    <w:rsid w:val="006C70A7"/>
    <w:rsid w:val="006D4054"/>
    <w:rsid w:val="006D7DD3"/>
    <w:rsid w:val="006E1559"/>
    <w:rsid w:val="006E21B6"/>
    <w:rsid w:val="006E44BA"/>
    <w:rsid w:val="006E5DE7"/>
    <w:rsid w:val="006F7C4A"/>
    <w:rsid w:val="00700220"/>
    <w:rsid w:val="00700399"/>
    <w:rsid w:val="00711FFA"/>
    <w:rsid w:val="007130DA"/>
    <w:rsid w:val="007152AB"/>
    <w:rsid w:val="007217C2"/>
    <w:rsid w:val="00722651"/>
    <w:rsid w:val="00725508"/>
    <w:rsid w:val="00737E2D"/>
    <w:rsid w:val="007401DF"/>
    <w:rsid w:val="00742D42"/>
    <w:rsid w:val="00744EB7"/>
    <w:rsid w:val="00750F0D"/>
    <w:rsid w:val="00750FF0"/>
    <w:rsid w:val="007519EB"/>
    <w:rsid w:val="00756FA5"/>
    <w:rsid w:val="00766DF8"/>
    <w:rsid w:val="007767D5"/>
    <w:rsid w:val="00777146"/>
    <w:rsid w:val="00781473"/>
    <w:rsid w:val="00784663"/>
    <w:rsid w:val="00791BD6"/>
    <w:rsid w:val="00795399"/>
    <w:rsid w:val="007960E0"/>
    <w:rsid w:val="00797064"/>
    <w:rsid w:val="007A19D5"/>
    <w:rsid w:val="007A79A9"/>
    <w:rsid w:val="007B2645"/>
    <w:rsid w:val="007B39B5"/>
    <w:rsid w:val="007B5DBE"/>
    <w:rsid w:val="007C1F9B"/>
    <w:rsid w:val="007C515B"/>
    <w:rsid w:val="007C60EB"/>
    <w:rsid w:val="007C7CC5"/>
    <w:rsid w:val="007D1676"/>
    <w:rsid w:val="007D3B36"/>
    <w:rsid w:val="007D3F2A"/>
    <w:rsid w:val="007E43FF"/>
    <w:rsid w:val="007E4CA8"/>
    <w:rsid w:val="007E5344"/>
    <w:rsid w:val="007E59D0"/>
    <w:rsid w:val="007E7C1D"/>
    <w:rsid w:val="007E7C61"/>
    <w:rsid w:val="007F0DEE"/>
    <w:rsid w:val="007F1174"/>
    <w:rsid w:val="007F27E9"/>
    <w:rsid w:val="007F5F80"/>
    <w:rsid w:val="008019E7"/>
    <w:rsid w:val="00801AA1"/>
    <w:rsid w:val="00801CCA"/>
    <w:rsid w:val="008031FC"/>
    <w:rsid w:val="00805D28"/>
    <w:rsid w:val="00806B5E"/>
    <w:rsid w:val="0080714F"/>
    <w:rsid w:val="008122BB"/>
    <w:rsid w:val="00814489"/>
    <w:rsid w:val="00814DFA"/>
    <w:rsid w:val="00817B80"/>
    <w:rsid w:val="00824848"/>
    <w:rsid w:val="008364EF"/>
    <w:rsid w:val="00840316"/>
    <w:rsid w:val="0084048C"/>
    <w:rsid w:val="00841AE7"/>
    <w:rsid w:val="00841F6F"/>
    <w:rsid w:val="00845155"/>
    <w:rsid w:val="00847B54"/>
    <w:rsid w:val="00853568"/>
    <w:rsid w:val="0085403B"/>
    <w:rsid w:val="00855F96"/>
    <w:rsid w:val="008634B7"/>
    <w:rsid w:val="0087410A"/>
    <w:rsid w:val="00885DF8"/>
    <w:rsid w:val="008875F1"/>
    <w:rsid w:val="00887D0F"/>
    <w:rsid w:val="008911FB"/>
    <w:rsid w:val="0089506D"/>
    <w:rsid w:val="00897E38"/>
    <w:rsid w:val="008B3458"/>
    <w:rsid w:val="008B4FB7"/>
    <w:rsid w:val="008C108C"/>
    <w:rsid w:val="008C1246"/>
    <w:rsid w:val="008C3746"/>
    <w:rsid w:val="008C7F1D"/>
    <w:rsid w:val="008D2B85"/>
    <w:rsid w:val="008D3A4B"/>
    <w:rsid w:val="008D7D1D"/>
    <w:rsid w:val="008E1EE2"/>
    <w:rsid w:val="008F048F"/>
    <w:rsid w:val="008F2962"/>
    <w:rsid w:val="008F40B7"/>
    <w:rsid w:val="008F4615"/>
    <w:rsid w:val="008F648B"/>
    <w:rsid w:val="0090303C"/>
    <w:rsid w:val="00903D19"/>
    <w:rsid w:val="00906ABE"/>
    <w:rsid w:val="009166A9"/>
    <w:rsid w:val="009222E0"/>
    <w:rsid w:val="00926A20"/>
    <w:rsid w:val="0093030D"/>
    <w:rsid w:val="00930ACF"/>
    <w:rsid w:val="00933B6A"/>
    <w:rsid w:val="00935064"/>
    <w:rsid w:val="00954CAF"/>
    <w:rsid w:val="00955067"/>
    <w:rsid w:val="009630C5"/>
    <w:rsid w:val="00963105"/>
    <w:rsid w:val="009662B4"/>
    <w:rsid w:val="00966F09"/>
    <w:rsid w:val="00971CBD"/>
    <w:rsid w:val="00972253"/>
    <w:rsid w:val="009735DA"/>
    <w:rsid w:val="00973FAC"/>
    <w:rsid w:val="00974C67"/>
    <w:rsid w:val="00977B14"/>
    <w:rsid w:val="00981D70"/>
    <w:rsid w:val="00982834"/>
    <w:rsid w:val="009955C3"/>
    <w:rsid w:val="00997083"/>
    <w:rsid w:val="009979AA"/>
    <w:rsid w:val="00997CE5"/>
    <w:rsid w:val="009A0A64"/>
    <w:rsid w:val="009A3EBC"/>
    <w:rsid w:val="009A5B87"/>
    <w:rsid w:val="009B125B"/>
    <w:rsid w:val="009B16A7"/>
    <w:rsid w:val="009B5865"/>
    <w:rsid w:val="009C01BD"/>
    <w:rsid w:val="009C429C"/>
    <w:rsid w:val="009C66E8"/>
    <w:rsid w:val="009C6B2E"/>
    <w:rsid w:val="009D0E7C"/>
    <w:rsid w:val="009D59E8"/>
    <w:rsid w:val="009E05A9"/>
    <w:rsid w:val="009E2052"/>
    <w:rsid w:val="009F4D35"/>
    <w:rsid w:val="009F60DA"/>
    <w:rsid w:val="009F6FBA"/>
    <w:rsid w:val="009F773B"/>
    <w:rsid w:val="009F7B2A"/>
    <w:rsid w:val="00A062F1"/>
    <w:rsid w:val="00A0705D"/>
    <w:rsid w:val="00A26BC8"/>
    <w:rsid w:val="00A42BFF"/>
    <w:rsid w:val="00A44616"/>
    <w:rsid w:val="00A45811"/>
    <w:rsid w:val="00A5149B"/>
    <w:rsid w:val="00A53FB2"/>
    <w:rsid w:val="00A55273"/>
    <w:rsid w:val="00A5773F"/>
    <w:rsid w:val="00A66161"/>
    <w:rsid w:val="00A66893"/>
    <w:rsid w:val="00A67A67"/>
    <w:rsid w:val="00A73A70"/>
    <w:rsid w:val="00A768FE"/>
    <w:rsid w:val="00A77931"/>
    <w:rsid w:val="00A80474"/>
    <w:rsid w:val="00A903D5"/>
    <w:rsid w:val="00A92438"/>
    <w:rsid w:val="00A931D1"/>
    <w:rsid w:val="00AA1844"/>
    <w:rsid w:val="00AA2A47"/>
    <w:rsid w:val="00AA4936"/>
    <w:rsid w:val="00AA4C93"/>
    <w:rsid w:val="00AA7DEF"/>
    <w:rsid w:val="00AB2361"/>
    <w:rsid w:val="00AB4F45"/>
    <w:rsid w:val="00AC0811"/>
    <w:rsid w:val="00AC1E07"/>
    <w:rsid w:val="00AC25BD"/>
    <w:rsid w:val="00AC7B66"/>
    <w:rsid w:val="00AE18B6"/>
    <w:rsid w:val="00AE1E57"/>
    <w:rsid w:val="00AE3E84"/>
    <w:rsid w:val="00AE432A"/>
    <w:rsid w:val="00AE604E"/>
    <w:rsid w:val="00AE6D4F"/>
    <w:rsid w:val="00AE763F"/>
    <w:rsid w:val="00AF0629"/>
    <w:rsid w:val="00AF07E4"/>
    <w:rsid w:val="00AF181D"/>
    <w:rsid w:val="00AF3C7B"/>
    <w:rsid w:val="00AF51BB"/>
    <w:rsid w:val="00B00A5F"/>
    <w:rsid w:val="00B026EC"/>
    <w:rsid w:val="00B02B97"/>
    <w:rsid w:val="00B043F2"/>
    <w:rsid w:val="00B11952"/>
    <w:rsid w:val="00B11B0E"/>
    <w:rsid w:val="00B163B4"/>
    <w:rsid w:val="00B206A9"/>
    <w:rsid w:val="00B2084F"/>
    <w:rsid w:val="00B22C1F"/>
    <w:rsid w:val="00B2664F"/>
    <w:rsid w:val="00B3066D"/>
    <w:rsid w:val="00B30ADD"/>
    <w:rsid w:val="00B33E43"/>
    <w:rsid w:val="00B35D97"/>
    <w:rsid w:val="00B36B75"/>
    <w:rsid w:val="00B404F7"/>
    <w:rsid w:val="00B45EC0"/>
    <w:rsid w:val="00B47531"/>
    <w:rsid w:val="00B51296"/>
    <w:rsid w:val="00B5327A"/>
    <w:rsid w:val="00B5606E"/>
    <w:rsid w:val="00B662E2"/>
    <w:rsid w:val="00B66F83"/>
    <w:rsid w:val="00B85D43"/>
    <w:rsid w:val="00B86312"/>
    <w:rsid w:val="00B87DA5"/>
    <w:rsid w:val="00B92A5E"/>
    <w:rsid w:val="00B93EB8"/>
    <w:rsid w:val="00B956F3"/>
    <w:rsid w:val="00BA3B95"/>
    <w:rsid w:val="00BA45C6"/>
    <w:rsid w:val="00BA6A55"/>
    <w:rsid w:val="00BB18CF"/>
    <w:rsid w:val="00BB4DBB"/>
    <w:rsid w:val="00BB5399"/>
    <w:rsid w:val="00BB6CCA"/>
    <w:rsid w:val="00BC1172"/>
    <w:rsid w:val="00BC363B"/>
    <w:rsid w:val="00BC47F4"/>
    <w:rsid w:val="00BD075F"/>
    <w:rsid w:val="00BD0B32"/>
    <w:rsid w:val="00BD45CB"/>
    <w:rsid w:val="00BD611B"/>
    <w:rsid w:val="00BD71C9"/>
    <w:rsid w:val="00BE262A"/>
    <w:rsid w:val="00BE2EC9"/>
    <w:rsid w:val="00BE3778"/>
    <w:rsid w:val="00BE5C9B"/>
    <w:rsid w:val="00BE7286"/>
    <w:rsid w:val="00BF6E9E"/>
    <w:rsid w:val="00C0208C"/>
    <w:rsid w:val="00C02E6E"/>
    <w:rsid w:val="00C1404B"/>
    <w:rsid w:val="00C16059"/>
    <w:rsid w:val="00C2512A"/>
    <w:rsid w:val="00C30EB7"/>
    <w:rsid w:val="00C3378B"/>
    <w:rsid w:val="00C3438D"/>
    <w:rsid w:val="00C41739"/>
    <w:rsid w:val="00C46DDC"/>
    <w:rsid w:val="00C530ED"/>
    <w:rsid w:val="00C60CFB"/>
    <w:rsid w:val="00C748FF"/>
    <w:rsid w:val="00C77641"/>
    <w:rsid w:val="00C80C29"/>
    <w:rsid w:val="00C81094"/>
    <w:rsid w:val="00C81B37"/>
    <w:rsid w:val="00C83AF6"/>
    <w:rsid w:val="00C854FF"/>
    <w:rsid w:val="00C8688D"/>
    <w:rsid w:val="00C90196"/>
    <w:rsid w:val="00C97D64"/>
    <w:rsid w:val="00C97E34"/>
    <w:rsid w:val="00CA125B"/>
    <w:rsid w:val="00CA4B3C"/>
    <w:rsid w:val="00CA54AE"/>
    <w:rsid w:val="00CA6A1E"/>
    <w:rsid w:val="00CB4D0F"/>
    <w:rsid w:val="00CC611E"/>
    <w:rsid w:val="00CC67DF"/>
    <w:rsid w:val="00CD20BD"/>
    <w:rsid w:val="00CD29BC"/>
    <w:rsid w:val="00CD3CEE"/>
    <w:rsid w:val="00CD4870"/>
    <w:rsid w:val="00CE1E98"/>
    <w:rsid w:val="00CE52CE"/>
    <w:rsid w:val="00CE7C85"/>
    <w:rsid w:val="00CF094C"/>
    <w:rsid w:val="00CF0BBB"/>
    <w:rsid w:val="00CF1E0D"/>
    <w:rsid w:val="00CF40A7"/>
    <w:rsid w:val="00CF4A5C"/>
    <w:rsid w:val="00D01199"/>
    <w:rsid w:val="00D013C0"/>
    <w:rsid w:val="00D070A4"/>
    <w:rsid w:val="00D13114"/>
    <w:rsid w:val="00D14148"/>
    <w:rsid w:val="00D15548"/>
    <w:rsid w:val="00D162EF"/>
    <w:rsid w:val="00D22CF5"/>
    <w:rsid w:val="00D24406"/>
    <w:rsid w:val="00D25E0D"/>
    <w:rsid w:val="00D27F1E"/>
    <w:rsid w:val="00D409F9"/>
    <w:rsid w:val="00D47025"/>
    <w:rsid w:val="00D50A8C"/>
    <w:rsid w:val="00D51D24"/>
    <w:rsid w:val="00D5610A"/>
    <w:rsid w:val="00D60620"/>
    <w:rsid w:val="00D702B3"/>
    <w:rsid w:val="00D70FB6"/>
    <w:rsid w:val="00D7102D"/>
    <w:rsid w:val="00D71048"/>
    <w:rsid w:val="00D72EEF"/>
    <w:rsid w:val="00D76499"/>
    <w:rsid w:val="00D85418"/>
    <w:rsid w:val="00D91824"/>
    <w:rsid w:val="00D93FC6"/>
    <w:rsid w:val="00DA096D"/>
    <w:rsid w:val="00DA37F6"/>
    <w:rsid w:val="00DA44F4"/>
    <w:rsid w:val="00DA4FB3"/>
    <w:rsid w:val="00DA6421"/>
    <w:rsid w:val="00DB1DBE"/>
    <w:rsid w:val="00DB2F1D"/>
    <w:rsid w:val="00DB62A8"/>
    <w:rsid w:val="00DB7747"/>
    <w:rsid w:val="00DC2DB6"/>
    <w:rsid w:val="00DC4F7E"/>
    <w:rsid w:val="00DC5D5B"/>
    <w:rsid w:val="00DD02E5"/>
    <w:rsid w:val="00DD3176"/>
    <w:rsid w:val="00DD3CF7"/>
    <w:rsid w:val="00DD4C2B"/>
    <w:rsid w:val="00DD68FB"/>
    <w:rsid w:val="00DE5A90"/>
    <w:rsid w:val="00DE66D4"/>
    <w:rsid w:val="00DE7FC9"/>
    <w:rsid w:val="00DF3795"/>
    <w:rsid w:val="00DF3D6E"/>
    <w:rsid w:val="00DF4A63"/>
    <w:rsid w:val="00DF558D"/>
    <w:rsid w:val="00DF6013"/>
    <w:rsid w:val="00E051A7"/>
    <w:rsid w:val="00E11DBE"/>
    <w:rsid w:val="00E12325"/>
    <w:rsid w:val="00E13ECD"/>
    <w:rsid w:val="00E1596A"/>
    <w:rsid w:val="00E16D40"/>
    <w:rsid w:val="00E16FBA"/>
    <w:rsid w:val="00E21054"/>
    <w:rsid w:val="00E22B42"/>
    <w:rsid w:val="00E31091"/>
    <w:rsid w:val="00E33212"/>
    <w:rsid w:val="00E45548"/>
    <w:rsid w:val="00E459EF"/>
    <w:rsid w:val="00E47176"/>
    <w:rsid w:val="00E47782"/>
    <w:rsid w:val="00E50A11"/>
    <w:rsid w:val="00E52353"/>
    <w:rsid w:val="00E57904"/>
    <w:rsid w:val="00E62CA1"/>
    <w:rsid w:val="00E66B6D"/>
    <w:rsid w:val="00E66BBF"/>
    <w:rsid w:val="00E7007D"/>
    <w:rsid w:val="00E71429"/>
    <w:rsid w:val="00E71628"/>
    <w:rsid w:val="00E7251C"/>
    <w:rsid w:val="00E75D56"/>
    <w:rsid w:val="00E903C8"/>
    <w:rsid w:val="00E95B3E"/>
    <w:rsid w:val="00EA259D"/>
    <w:rsid w:val="00EA3386"/>
    <w:rsid w:val="00EA4094"/>
    <w:rsid w:val="00EA4D57"/>
    <w:rsid w:val="00EA793F"/>
    <w:rsid w:val="00EB2EDD"/>
    <w:rsid w:val="00EB2F31"/>
    <w:rsid w:val="00EB3172"/>
    <w:rsid w:val="00EB7EE0"/>
    <w:rsid w:val="00EC10F4"/>
    <w:rsid w:val="00EC1245"/>
    <w:rsid w:val="00EC3E43"/>
    <w:rsid w:val="00EC46BD"/>
    <w:rsid w:val="00EC63F1"/>
    <w:rsid w:val="00EC7379"/>
    <w:rsid w:val="00ED1535"/>
    <w:rsid w:val="00ED424B"/>
    <w:rsid w:val="00ED56B2"/>
    <w:rsid w:val="00ED647D"/>
    <w:rsid w:val="00EF252D"/>
    <w:rsid w:val="00EF286F"/>
    <w:rsid w:val="00EF6707"/>
    <w:rsid w:val="00EF6BD9"/>
    <w:rsid w:val="00EF7D91"/>
    <w:rsid w:val="00F01E30"/>
    <w:rsid w:val="00F0774A"/>
    <w:rsid w:val="00F1198E"/>
    <w:rsid w:val="00F23B11"/>
    <w:rsid w:val="00F255CE"/>
    <w:rsid w:val="00F34800"/>
    <w:rsid w:val="00F34D95"/>
    <w:rsid w:val="00F4296A"/>
    <w:rsid w:val="00F43263"/>
    <w:rsid w:val="00F46893"/>
    <w:rsid w:val="00F470CD"/>
    <w:rsid w:val="00F47627"/>
    <w:rsid w:val="00F477B7"/>
    <w:rsid w:val="00F52001"/>
    <w:rsid w:val="00F52CD4"/>
    <w:rsid w:val="00F55F4F"/>
    <w:rsid w:val="00F627C8"/>
    <w:rsid w:val="00F673AC"/>
    <w:rsid w:val="00F712A9"/>
    <w:rsid w:val="00F729AA"/>
    <w:rsid w:val="00F74EDF"/>
    <w:rsid w:val="00F7675B"/>
    <w:rsid w:val="00F81E32"/>
    <w:rsid w:val="00F824C6"/>
    <w:rsid w:val="00F85B5D"/>
    <w:rsid w:val="00F94CF0"/>
    <w:rsid w:val="00F96B8C"/>
    <w:rsid w:val="00F97186"/>
    <w:rsid w:val="00FA13C7"/>
    <w:rsid w:val="00FA27B0"/>
    <w:rsid w:val="00FA3F01"/>
    <w:rsid w:val="00FA6605"/>
    <w:rsid w:val="00FB1F52"/>
    <w:rsid w:val="00FC4E1E"/>
    <w:rsid w:val="00FD271E"/>
    <w:rsid w:val="00FD3DEE"/>
    <w:rsid w:val="00FE1A13"/>
    <w:rsid w:val="00FE1AF2"/>
    <w:rsid w:val="00FE2D23"/>
    <w:rsid w:val="00FE320F"/>
    <w:rsid w:val="00FE34A9"/>
    <w:rsid w:val="00FF2925"/>
    <w:rsid w:val="00FF3694"/>
    <w:rsid w:val="00FF48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B75C3"/>
  <w15:docId w15:val="{5A455E82-52AD-4D61-A410-890F3928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color w:val="4472C4"/>
      <w:sz w:val="36"/>
      <w:szCs w:val="36"/>
    </w:rPr>
  </w:style>
  <w:style w:type="paragraph" w:styleId="Heading2">
    <w:name w:val="heading 2"/>
    <w:basedOn w:val="Normal"/>
    <w:next w:val="Normal"/>
    <w:uiPriority w:val="9"/>
    <w:unhideWhenUsed/>
    <w:qFormat/>
    <w:rsid w:val="00AC7B66"/>
    <w:pPr>
      <w:spacing w:before="240" w:after="0" w:line="240" w:lineRule="auto"/>
      <w:outlineLvl w:val="1"/>
    </w:pPr>
    <w:rPr>
      <w:b/>
      <w:bCs/>
      <w:color w:val="4F81BD" w:themeColor="accent1"/>
    </w:rPr>
  </w:style>
  <w:style w:type="paragraph" w:styleId="Heading3">
    <w:name w:val="heading 3"/>
    <w:basedOn w:val="Normal"/>
    <w:next w:val="Normal"/>
    <w:uiPriority w:val="9"/>
    <w:unhideWhenUsed/>
    <w:qFormat/>
    <w:pPr>
      <w:keepNext/>
      <w:keepLines/>
      <w:outlineLvl w:val="2"/>
    </w:pPr>
    <w:rPr>
      <w:b/>
      <w:sz w:val="26"/>
      <w:szCs w:val="26"/>
      <w:highlight w:val="whit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rPr>
      <w:b/>
      <w:color w:val="4472C4"/>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D1535"/>
    <w:pPr>
      <w:ind w:left="720"/>
      <w:contextualSpacing/>
    </w:pPr>
    <w:rPr>
      <w:rFonts w:eastAsiaTheme="minorHAnsi" w:cstheme="minorBidi"/>
      <w:szCs w:val="22"/>
    </w:rPr>
  </w:style>
  <w:style w:type="character" w:styleId="Hyperlink">
    <w:name w:val="Hyperlink"/>
    <w:basedOn w:val="DefaultParagraphFont"/>
    <w:uiPriority w:val="99"/>
    <w:unhideWhenUsed/>
    <w:rsid w:val="00ED1535"/>
    <w:rPr>
      <w:color w:val="0000FF" w:themeColor="hyperlink"/>
      <w:u w:val="single"/>
    </w:rPr>
  </w:style>
  <w:style w:type="paragraph" w:styleId="EndnoteText">
    <w:name w:val="endnote text"/>
    <w:basedOn w:val="Normal"/>
    <w:link w:val="EndnoteTextChar"/>
    <w:uiPriority w:val="99"/>
    <w:semiHidden/>
    <w:unhideWhenUsed/>
    <w:rsid w:val="00ED1535"/>
    <w:pPr>
      <w:spacing w:after="0" w:line="240" w:lineRule="auto"/>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ED1535"/>
    <w:rPr>
      <w:rFonts w:eastAsiaTheme="minorHAnsi" w:cstheme="minorBidi"/>
      <w:sz w:val="20"/>
      <w:szCs w:val="20"/>
    </w:rPr>
  </w:style>
  <w:style w:type="character" w:styleId="EndnoteReference">
    <w:name w:val="endnote reference"/>
    <w:basedOn w:val="DefaultParagraphFont"/>
    <w:uiPriority w:val="99"/>
    <w:semiHidden/>
    <w:unhideWhenUsed/>
    <w:rsid w:val="00ED1535"/>
    <w:rPr>
      <w:vertAlign w:val="superscript"/>
    </w:rPr>
  </w:style>
  <w:style w:type="paragraph" w:styleId="BalloonText">
    <w:name w:val="Balloon Text"/>
    <w:basedOn w:val="Normal"/>
    <w:link w:val="BalloonTextChar"/>
    <w:uiPriority w:val="99"/>
    <w:semiHidden/>
    <w:unhideWhenUsed/>
    <w:rsid w:val="00ED1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35"/>
    <w:rPr>
      <w:rFonts w:ascii="Segoe UI" w:hAnsi="Segoe UI" w:cs="Segoe UI"/>
      <w:sz w:val="18"/>
      <w:szCs w:val="18"/>
    </w:rPr>
  </w:style>
  <w:style w:type="paragraph" w:styleId="TOCHeading">
    <w:name w:val="TOC Heading"/>
    <w:basedOn w:val="Heading1"/>
    <w:next w:val="Normal"/>
    <w:uiPriority w:val="39"/>
    <w:unhideWhenUsed/>
    <w:qFormat/>
    <w:rsid w:val="00DD3CF7"/>
    <w:pPr>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DD3CF7"/>
    <w:pPr>
      <w:spacing w:after="100"/>
      <w:ind w:left="240"/>
    </w:pPr>
  </w:style>
  <w:style w:type="paragraph" w:styleId="TOC1">
    <w:name w:val="toc 1"/>
    <w:basedOn w:val="Normal"/>
    <w:next w:val="Normal"/>
    <w:autoRedefine/>
    <w:uiPriority w:val="39"/>
    <w:unhideWhenUsed/>
    <w:rsid w:val="00DD3CF7"/>
    <w:pPr>
      <w:spacing w:after="100"/>
    </w:pPr>
  </w:style>
  <w:style w:type="paragraph" w:styleId="TOC3">
    <w:name w:val="toc 3"/>
    <w:basedOn w:val="Normal"/>
    <w:next w:val="Normal"/>
    <w:autoRedefine/>
    <w:uiPriority w:val="39"/>
    <w:unhideWhenUsed/>
    <w:rsid w:val="00DD3CF7"/>
    <w:pPr>
      <w:spacing w:after="100"/>
      <w:ind w:left="480"/>
    </w:pPr>
  </w:style>
  <w:style w:type="paragraph" w:styleId="FootnoteText">
    <w:name w:val="footnote text"/>
    <w:basedOn w:val="Normal"/>
    <w:link w:val="FootnoteTextChar"/>
    <w:uiPriority w:val="99"/>
    <w:semiHidden/>
    <w:unhideWhenUsed/>
    <w:rsid w:val="00DD3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3CF7"/>
    <w:rPr>
      <w:sz w:val="20"/>
      <w:szCs w:val="20"/>
    </w:rPr>
  </w:style>
  <w:style w:type="character" w:styleId="FootnoteReference">
    <w:name w:val="footnote reference"/>
    <w:basedOn w:val="DefaultParagraphFont"/>
    <w:uiPriority w:val="99"/>
    <w:semiHidden/>
    <w:unhideWhenUsed/>
    <w:rsid w:val="00DD3CF7"/>
    <w:rPr>
      <w:vertAlign w:val="superscript"/>
    </w:rPr>
  </w:style>
  <w:style w:type="paragraph" w:styleId="CommentSubject">
    <w:name w:val="annotation subject"/>
    <w:basedOn w:val="CommentText"/>
    <w:next w:val="CommentText"/>
    <w:link w:val="CommentSubjectChar"/>
    <w:uiPriority w:val="99"/>
    <w:semiHidden/>
    <w:unhideWhenUsed/>
    <w:rsid w:val="00974C67"/>
    <w:rPr>
      <w:b/>
      <w:bCs/>
    </w:rPr>
  </w:style>
  <w:style w:type="character" w:customStyle="1" w:styleId="CommentSubjectChar">
    <w:name w:val="Comment Subject Char"/>
    <w:basedOn w:val="CommentTextChar"/>
    <w:link w:val="CommentSubject"/>
    <w:uiPriority w:val="99"/>
    <w:semiHidden/>
    <w:rsid w:val="00974C67"/>
    <w:rPr>
      <w:b/>
      <w:bCs/>
      <w:sz w:val="20"/>
      <w:szCs w:val="20"/>
    </w:rPr>
  </w:style>
  <w:style w:type="paragraph" w:styleId="Header">
    <w:name w:val="header"/>
    <w:basedOn w:val="Normal"/>
    <w:link w:val="HeaderChar"/>
    <w:uiPriority w:val="99"/>
    <w:unhideWhenUsed/>
    <w:rsid w:val="00CC6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1E"/>
  </w:style>
  <w:style w:type="paragraph" w:styleId="Footer">
    <w:name w:val="footer"/>
    <w:basedOn w:val="Normal"/>
    <w:link w:val="FooterChar"/>
    <w:uiPriority w:val="99"/>
    <w:unhideWhenUsed/>
    <w:rsid w:val="00CC6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1E"/>
  </w:style>
  <w:style w:type="character" w:styleId="UnresolvedMention">
    <w:name w:val="Unresolved Mention"/>
    <w:basedOn w:val="DefaultParagraphFont"/>
    <w:uiPriority w:val="99"/>
    <w:semiHidden/>
    <w:unhideWhenUsed/>
    <w:rsid w:val="009E05A9"/>
    <w:rPr>
      <w:color w:val="605E5C"/>
      <w:shd w:val="clear" w:color="auto" w:fill="E1DFDD"/>
    </w:rPr>
  </w:style>
  <w:style w:type="paragraph" w:styleId="Revision">
    <w:name w:val="Revision"/>
    <w:hidden/>
    <w:uiPriority w:val="99"/>
    <w:semiHidden/>
    <w:rsid w:val="0065452F"/>
    <w:pPr>
      <w:spacing w:after="0" w:line="240" w:lineRule="auto"/>
    </w:pPr>
  </w:style>
  <w:style w:type="character" w:styleId="FollowedHyperlink">
    <w:name w:val="FollowedHyperlink"/>
    <w:basedOn w:val="DefaultParagraphFont"/>
    <w:uiPriority w:val="99"/>
    <w:semiHidden/>
    <w:unhideWhenUsed/>
    <w:rsid w:val="002313C8"/>
    <w:rPr>
      <w:color w:val="800080" w:themeColor="followedHyperlink"/>
      <w:u w:val="single"/>
    </w:rPr>
  </w:style>
  <w:style w:type="paragraph" w:styleId="NormalWeb">
    <w:name w:val="Normal (Web)"/>
    <w:basedOn w:val="Normal"/>
    <w:uiPriority w:val="99"/>
    <w:unhideWhenUsed/>
    <w:rsid w:val="00E52353"/>
    <w:pPr>
      <w:spacing w:before="100" w:beforeAutospacing="1" w:after="100" w:afterAutospacing="1" w:line="240" w:lineRule="auto"/>
    </w:pPr>
  </w:style>
  <w:style w:type="table" w:styleId="TableGrid">
    <w:name w:val="Table Grid"/>
    <w:basedOn w:val="TableNormal"/>
    <w:uiPriority w:val="39"/>
    <w:rsid w:val="00302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F3D05"/>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277">
      <w:bodyDiv w:val="1"/>
      <w:marLeft w:val="0"/>
      <w:marRight w:val="0"/>
      <w:marTop w:val="0"/>
      <w:marBottom w:val="0"/>
      <w:divBdr>
        <w:top w:val="none" w:sz="0" w:space="0" w:color="auto"/>
        <w:left w:val="none" w:sz="0" w:space="0" w:color="auto"/>
        <w:bottom w:val="none" w:sz="0" w:space="0" w:color="auto"/>
        <w:right w:val="none" w:sz="0" w:space="0" w:color="auto"/>
      </w:divBdr>
    </w:div>
    <w:div w:id="99447908">
      <w:bodyDiv w:val="1"/>
      <w:marLeft w:val="0"/>
      <w:marRight w:val="0"/>
      <w:marTop w:val="0"/>
      <w:marBottom w:val="0"/>
      <w:divBdr>
        <w:top w:val="none" w:sz="0" w:space="0" w:color="auto"/>
        <w:left w:val="none" w:sz="0" w:space="0" w:color="auto"/>
        <w:bottom w:val="none" w:sz="0" w:space="0" w:color="auto"/>
        <w:right w:val="none" w:sz="0" w:space="0" w:color="auto"/>
      </w:divBdr>
    </w:div>
    <w:div w:id="149176136">
      <w:bodyDiv w:val="1"/>
      <w:marLeft w:val="0"/>
      <w:marRight w:val="0"/>
      <w:marTop w:val="0"/>
      <w:marBottom w:val="0"/>
      <w:divBdr>
        <w:top w:val="none" w:sz="0" w:space="0" w:color="auto"/>
        <w:left w:val="none" w:sz="0" w:space="0" w:color="auto"/>
        <w:bottom w:val="none" w:sz="0" w:space="0" w:color="auto"/>
        <w:right w:val="none" w:sz="0" w:space="0" w:color="auto"/>
      </w:divBdr>
      <w:divsChild>
        <w:div w:id="1765808253">
          <w:marLeft w:val="0"/>
          <w:marRight w:val="0"/>
          <w:marTop w:val="0"/>
          <w:marBottom w:val="0"/>
          <w:divBdr>
            <w:top w:val="none" w:sz="0" w:space="0" w:color="auto"/>
            <w:left w:val="none" w:sz="0" w:space="0" w:color="auto"/>
            <w:bottom w:val="none" w:sz="0" w:space="0" w:color="auto"/>
            <w:right w:val="none" w:sz="0" w:space="0" w:color="auto"/>
          </w:divBdr>
        </w:div>
      </w:divsChild>
    </w:div>
    <w:div w:id="227884869">
      <w:bodyDiv w:val="1"/>
      <w:marLeft w:val="0"/>
      <w:marRight w:val="0"/>
      <w:marTop w:val="0"/>
      <w:marBottom w:val="0"/>
      <w:divBdr>
        <w:top w:val="none" w:sz="0" w:space="0" w:color="auto"/>
        <w:left w:val="none" w:sz="0" w:space="0" w:color="auto"/>
        <w:bottom w:val="none" w:sz="0" w:space="0" w:color="auto"/>
        <w:right w:val="none" w:sz="0" w:space="0" w:color="auto"/>
      </w:divBdr>
      <w:divsChild>
        <w:div w:id="1100951279">
          <w:marLeft w:val="0"/>
          <w:marRight w:val="0"/>
          <w:marTop w:val="0"/>
          <w:marBottom w:val="0"/>
          <w:divBdr>
            <w:top w:val="none" w:sz="0" w:space="0" w:color="auto"/>
            <w:left w:val="none" w:sz="0" w:space="0" w:color="auto"/>
            <w:bottom w:val="none" w:sz="0" w:space="0" w:color="auto"/>
            <w:right w:val="none" w:sz="0" w:space="0" w:color="auto"/>
          </w:divBdr>
        </w:div>
      </w:divsChild>
    </w:div>
    <w:div w:id="308633935">
      <w:bodyDiv w:val="1"/>
      <w:marLeft w:val="0"/>
      <w:marRight w:val="0"/>
      <w:marTop w:val="0"/>
      <w:marBottom w:val="0"/>
      <w:divBdr>
        <w:top w:val="none" w:sz="0" w:space="0" w:color="auto"/>
        <w:left w:val="none" w:sz="0" w:space="0" w:color="auto"/>
        <w:bottom w:val="none" w:sz="0" w:space="0" w:color="auto"/>
        <w:right w:val="none" w:sz="0" w:space="0" w:color="auto"/>
      </w:divBdr>
    </w:div>
    <w:div w:id="351764076">
      <w:bodyDiv w:val="1"/>
      <w:marLeft w:val="0"/>
      <w:marRight w:val="0"/>
      <w:marTop w:val="0"/>
      <w:marBottom w:val="0"/>
      <w:divBdr>
        <w:top w:val="none" w:sz="0" w:space="0" w:color="auto"/>
        <w:left w:val="none" w:sz="0" w:space="0" w:color="auto"/>
        <w:bottom w:val="none" w:sz="0" w:space="0" w:color="auto"/>
        <w:right w:val="none" w:sz="0" w:space="0" w:color="auto"/>
      </w:divBdr>
    </w:div>
    <w:div w:id="1259288065">
      <w:bodyDiv w:val="1"/>
      <w:marLeft w:val="0"/>
      <w:marRight w:val="0"/>
      <w:marTop w:val="0"/>
      <w:marBottom w:val="0"/>
      <w:divBdr>
        <w:top w:val="none" w:sz="0" w:space="0" w:color="auto"/>
        <w:left w:val="none" w:sz="0" w:space="0" w:color="auto"/>
        <w:bottom w:val="none" w:sz="0" w:space="0" w:color="auto"/>
        <w:right w:val="none" w:sz="0" w:space="0" w:color="auto"/>
      </w:divBdr>
    </w:div>
    <w:div w:id="1437795468">
      <w:bodyDiv w:val="1"/>
      <w:marLeft w:val="0"/>
      <w:marRight w:val="0"/>
      <w:marTop w:val="0"/>
      <w:marBottom w:val="0"/>
      <w:divBdr>
        <w:top w:val="none" w:sz="0" w:space="0" w:color="auto"/>
        <w:left w:val="none" w:sz="0" w:space="0" w:color="auto"/>
        <w:bottom w:val="none" w:sz="0" w:space="0" w:color="auto"/>
        <w:right w:val="none" w:sz="0" w:space="0" w:color="auto"/>
      </w:divBdr>
    </w:div>
    <w:div w:id="197860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doc/safety-standards-for-youth-and-adult-amateur-sports-activities-phase-iii-step-1/downloa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doe.mass.edu/covid19/return-to-school/supplement/2020-0724add-safety-guide.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ass.gov/info-details/covid-19-travel-ord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covid19/return-to-school/supplement/2020-0724add-safety-guide.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ovid19/return-to-school/supplement/2020-0724add-safety-guide.docx"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www.mass.gov/doc/sector-specific-workplace-safety-standards-phase-iii-step-1-for-theaters-and-performance-venues/download" TargetMode="External"/><Relationship Id="rId3" Type="http://schemas.openxmlformats.org/officeDocument/2006/relationships/hyperlink" Target="https://www.mass.gov/doc/sector-specific-workplace-safety-standards-phase-iii-step-1-for-theaters-and-performance-venues/download" TargetMode="External"/><Relationship Id="rId7" Type="http://schemas.openxmlformats.org/officeDocument/2006/relationships/hyperlink" Target="https://www.mass.gov/doc/sector-specific-workplace-safety-standards-phase-iii-step-1-for-theaters-and-performance-venues/download" TargetMode="External"/><Relationship Id="rId2" Type="http://schemas.openxmlformats.org/officeDocument/2006/relationships/hyperlink" Target="http://www.doe.mass.edu/covid19/return-to-school/supplement/2020-0724add-safety-guide.docx" TargetMode="External"/><Relationship Id="rId1" Type="http://schemas.openxmlformats.org/officeDocument/2006/relationships/hyperlink" Target="https://www.speechanddebate.org/virtual-learning-resources/" TargetMode="External"/><Relationship Id="rId6" Type="http://schemas.openxmlformats.org/officeDocument/2006/relationships/hyperlink" Target="https://www.mass.gov/doc/sector-specific-workplace-safety-standards-phase-iii-step-1-for-theaters-and-performance-venues/download" TargetMode="External"/><Relationship Id="rId5" Type="http://schemas.openxmlformats.org/officeDocument/2006/relationships/hyperlink" Target="https://www.mass.gov/doc/sector-specific-workplace-safety-standards-phase-iii-step-1-for-theaters-and-performance-venues/download" TargetMode="External"/><Relationship Id="rId4" Type="http://schemas.openxmlformats.org/officeDocument/2006/relationships/hyperlink" Target="https://www.mass.gov/doc/sector-specific-workplace-safety-standards-phase-iii-step-1-for-theaters-and-performance-venue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DESE-231-64104</_dlc_DocId>
    <_dlc_DocIdUrl xmlns="733efe1c-5bbe-4968-87dc-d400e65c879f">
      <Url>https://sharepoint.doemass.org/ese/webteam/cps/_layouts/DocIdRedir.aspx?ID=DESE-231-64104</Url>
      <Description>DESE-231-64104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8D465-507F-4130-83C2-B8547389F58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B3FDE97-21FE-4758-BC38-24C44842F4F9}">
  <ds:schemaRefs>
    <ds:schemaRef ds:uri="http://schemas.microsoft.com/sharepoint/events"/>
  </ds:schemaRefs>
</ds:datastoreItem>
</file>

<file path=customXml/itemProps3.xml><?xml version="1.0" encoding="utf-8"?>
<ds:datastoreItem xmlns:ds="http://schemas.openxmlformats.org/officeDocument/2006/customXml" ds:itemID="{D6B5EBCF-CF00-4196-B3EE-7A2806FD5732}">
  <ds:schemaRefs>
    <ds:schemaRef ds:uri="http://schemas.microsoft.com/sharepoint/v3/contenttype/forms"/>
  </ds:schemaRefs>
</ds:datastoreItem>
</file>

<file path=customXml/itemProps4.xml><?xml version="1.0" encoding="utf-8"?>
<ds:datastoreItem xmlns:ds="http://schemas.openxmlformats.org/officeDocument/2006/customXml" ds:itemID="{B5A9F54F-B482-4C23-AE7F-95718BB0B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A722BC-0433-432A-8231-52024C9E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1380</Words>
  <Characters>7883</Characters>
  <Application>Microsoft Office Word</Application>
  <DocSecurity>0</DocSecurity>
  <Lines>157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Guidance for Student Groups and School Events for School Year 2020-2021</dc:title>
  <dc:creator>DESE</dc:creator>
  <cp:lastModifiedBy>Zou, Dong (EOE)</cp:lastModifiedBy>
  <cp:revision>25</cp:revision>
  <dcterms:created xsi:type="dcterms:W3CDTF">2020-08-31T18:11:00Z</dcterms:created>
  <dcterms:modified xsi:type="dcterms:W3CDTF">2020-08-31T18:29:00Z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31 2020</vt:lpwstr>
  </property>
</Properties>
</file>